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8" w:name="sciatica"/>
    <w:p>
      <w:pPr>
        <w:pStyle w:val="Heading1"/>
      </w:pPr>
      <w:r>
        <w:t xml:space="preserve">Sciatica</w:t>
      </w:r>
    </w:p>
    <w:bookmarkStart w:id="20" w:name="what-is-it"/>
    <w:p>
      <w:pPr>
        <w:pStyle w:val="Heading2"/>
      </w:pPr>
      <w:r>
        <w:t xml:space="preserve">What Is It?</w:t>
      </w:r>
    </w:p>
    <w:p>
      <w:pPr>
        <w:pStyle w:val="FirstParagraph"/>
      </w:pPr>
      <w:r>
        <w:t xml:space="preserve">Sciatica refers to pain that radiates along the course of the sciatic nerve, typically from the lower back into the buttock and down the leg. It is a symptom rather than a diagnosis and is usually caused by irritation or compression of one or more spinal nerve roots in the lower back.</w:t>
      </w:r>
    </w:p>
    <w:p>
      <w:pPr>
        <w:pStyle w:val="BodyText"/>
      </w:pPr>
      <w:r>
        <w:t xml:space="preserve">The most common cause of sciatica is a lumbar slip disc, although other conditions such as lumbar canal stenosis, spondylolisthesis and spinal tumors can also cause similar symptoms.</w:t>
      </w:r>
    </w:p>
    <w:p>
      <w:pPr>
        <w:pStyle w:val="BodyText"/>
      </w:pPr>
      <w:r>
        <w:t xml:space="preserve">Sciatica can range from mild discomfort to severe, disabling leg pain that affects walking, sitting and daily activities.</w:t>
      </w:r>
    </w:p>
    <w:p>
      <w:r>
        <w:pict>
          <v:rect style="width:0;height:1.5pt" o:hralign="center" o:hrstd="t" o:hr="t"/>
        </w:pict>
      </w:r>
    </w:p>
    <w:bookmarkEnd w:id="20"/>
    <w:bookmarkStart w:id="21" w:name="common-symptoms"/>
    <w:p>
      <w:pPr>
        <w:pStyle w:val="Heading2"/>
      </w:pPr>
      <w:r>
        <w:t xml:space="preserve">Common Symptoms</w:t>
      </w:r>
    </w:p>
    <w:p>
      <w:pPr>
        <w:pStyle w:val="FirstParagraph"/>
      </w:pPr>
      <w:r>
        <w:t xml:space="preserve">Patients may experience:</w:t>
      </w:r>
    </w:p>
    <w:p>
      <w:pPr>
        <w:pStyle w:val="Compact"/>
        <w:numPr>
          <w:ilvl w:val="0"/>
          <w:numId w:val="1001"/>
        </w:numPr>
      </w:pPr>
      <w:r>
        <w:t xml:space="preserve">Pain radiating from the lower back into the buttock and leg</w:t>
      </w:r>
    </w:p>
    <w:p>
      <w:pPr>
        <w:pStyle w:val="Compact"/>
        <w:numPr>
          <w:ilvl w:val="0"/>
          <w:numId w:val="1001"/>
        </w:numPr>
      </w:pPr>
      <w:r>
        <w:t xml:space="preserve">Sharp, shooting or electric shock-like pain</w:t>
      </w:r>
    </w:p>
    <w:p>
      <w:pPr>
        <w:pStyle w:val="Compact"/>
        <w:numPr>
          <w:ilvl w:val="0"/>
          <w:numId w:val="1001"/>
        </w:numPr>
      </w:pPr>
      <w:r>
        <w:t xml:space="preserve">Burning sensation in the leg</w:t>
      </w:r>
    </w:p>
    <w:p>
      <w:pPr>
        <w:pStyle w:val="Compact"/>
        <w:numPr>
          <w:ilvl w:val="0"/>
          <w:numId w:val="1001"/>
        </w:numPr>
      </w:pPr>
      <w:r>
        <w:t xml:space="preserve">Tingling or numbness in the leg or foot</w:t>
      </w:r>
    </w:p>
    <w:p>
      <w:pPr>
        <w:pStyle w:val="Compact"/>
        <w:numPr>
          <w:ilvl w:val="0"/>
          <w:numId w:val="1001"/>
        </w:numPr>
      </w:pPr>
      <w:r>
        <w:t xml:space="preserve">Weakness in the leg or foot</w:t>
      </w:r>
    </w:p>
    <w:p>
      <w:pPr>
        <w:pStyle w:val="Compact"/>
        <w:numPr>
          <w:ilvl w:val="0"/>
          <w:numId w:val="1001"/>
        </w:numPr>
      </w:pPr>
      <w:r>
        <w:t xml:space="preserve">Difficulty standing or walking for prolonged periods</w:t>
      </w:r>
    </w:p>
    <w:p>
      <w:pPr>
        <w:pStyle w:val="Compact"/>
        <w:numPr>
          <w:ilvl w:val="0"/>
          <w:numId w:val="1001"/>
        </w:numPr>
      </w:pPr>
      <w:r>
        <w:t xml:space="preserve">Pain aggravated by coughing, sneezing or straining</w:t>
      </w:r>
    </w:p>
    <w:p>
      <w:pPr>
        <w:pStyle w:val="Compact"/>
        <w:numPr>
          <w:ilvl w:val="0"/>
          <w:numId w:val="1001"/>
        </w:numPr>
      </w:pPr>
      <w:r>
        <w:t xml:space="preserve">Pain while sitting for long periods</w:t>
      </w:r>
    </w:p>
    <w:p>
      <w:pPr>
        <w:pStyle w:val="FirstParagraph"/>
      </w:pPr>
      <w:r>
        <w:t xml:space="preserve">Typically, leg pain is more severe than back pain.</w:t>
      </w:r>
    </w:p>
    <w:p>
      <w:r>
        <w:pict>
          <v:rect style="width:0;height:1.5pt" o:hralign="center" o:hrstd="t" o:hr="t"/>
        </w:pict>
      </w:r>
    </w:p>
    <w:bookmarkEnd w:id="21"/>
    <w:bookmarkStart w:id="22" w:name="causes-risk-factors"/>
    <w:p>
      <w:pPr>
        <w:pStyle w:val="Heading2"/>
      </w:pPr>
      <w:r>
        <w:t xml:space="preserve">Causes &amp; Risk Factors</w:t>
      </w:r>
    </w:p>
    <w:p>
      <w:pPr>
        <w:pStyle w:val="FirstParagraph"/>
      </w:pPr>
      <w:r>
        <w:t xml:space="preserve">Common causes include:</w:t>
      </w:r>
    </w:p>
    <w:p>
      <w:pPr>
        <w:pStyle w:val="Compact"/>
        <w:numPr>
          <w:ilvl w:val="0"/>
          <w:numId w:val="1002"/>
        </w:numPr>
      </w:pPr>
      <w:r>
        <w:t xml:space="preserve">Lumbar Slip Disc (most common)</w:t>
      </w:r>
    </w:p>
    <w:p>
      <w:pPr>
        <w:pStyle w:val="Compact"/>
        <w:numPr>
          <w:ilvl w:val="0"/>
          <w:numId w:val="1002"/>
        </w:numPr>
      </w:pPr>
      <w:r>
        <w:t xml:space="preserve">Lumbar Canal Stenosis</w:t>
      </w:r>
    </w:p>
    <w:p>
      <w:pPr>
        <w:pStyle w:val="Compact"/>
        <w:numPr>
          <w:ilvl w:val="0"/>
          <w:numId w:val="1002"/>
        </w:numPr>
      </w:pPr>
      <w:r>
        <w:t xml:space="preserve">Spondylolisthesis</w:t>
      </w:r>
    </w:p>
    <w:p>
      <w:pPr>
        <w:pStyle w:val="Compact"/>
        <w:numPr>
          <w:ilvl w:val="0"/>
          <w:numId w:val="1002"/>
        </w:numPr>
      </w:pPr>
      <w:r>
        <w:t xml:space="preserve">Degenerative disc disease</w:t>
      </w:r>
    </w:p>
    <w:p>
      <w:pPr>
        <w:pStyle w:val="Compact"/>
        <w:numPr>
          <w:ilvl w:val="0"/>
          <w:numId w:val="1002"/>
        </w:numPr>
      </w:pPr>
      <w:r>
        <w:t xml:space="preserve">Spinal tumors</w:t>
      </w:r>
    </w:p>
    <w:p>
      <w:pPr>
        <w:pStyle w:val="Compact"/>
        <w:numPr>
          <w:ilvl w:val="0"/>
          <w:numId w:val="1002"/>
        </w:numPr>
      </w:pPr>
      <w:r>
        <w:t xml:space="preserve">Spinal infections</w:t>
      </w:r>
    </w:p>
    <w:p>
      <w:pPr>
        <w:pStyle w:val="Compact"/>
        <w:numPr>
          <w:ilvl w:val="0"/>
          <w:numId w:val="1002"/>
        </w:numPr>
      </w:pPr>
      <w:r>
        <w:t xml:space="preserve">Rarely, piriformis syndrome</w:t>
      </w:r>
    </w:p>
    <w:p>
      <w:pPr>
        <w:pStyle w:val="FirstParagraph"/>
      </w:pPr>
      <w:r>
        <w:t xml:space="preserve">Risk factors include:</w:t>
      </w:r>
    </w:p>
    <w:p>
      <w:pPr>
        <w:pStyle w:val="Compact"/>
        <w:numPr>
          <w:ilvl w:val="0"/>
          <w:numId w:val="1003"/>
        </w:numPr>
      </w:pPr>
      <w:r>
        <w:t xml:space="preserve">Age-related degeneration</w:t>
      </w:r>
    </w:p>
    <w:p>
      <w:pPr>
        <w:pStyle w:val="Compact"/>
        <w:numPr>
          <w:ilvl w:val="0"/>
          <w:numId w:val="1003"/>
        </w:numPr>
      </w:pPr>
      <w:r>
        <w:t xml:space="preserve">Prolonged sitting</w:t>
      </w:r>
    </w:p>
    <w:p>
      <w:pPr>
        <w:pStyle w:val="Compact"/>
        <w:numPr>
          <w:ilvl w:val="0"/>
          <w:numId w:val="1003"/>
        </w:numPr>
      </w:pPr>
      <w:r>
        <w:t xml:space="preserve">Heavy lifting</w:t>
      </w:r>
    </w:p>
    <w:p>
      <w:pPr>
        <w:pStyle w:val="Compact"/>
        <w:numPr>
          <w:ilvl w:val="0"/>
          <w:numId w:val="1003"/>
        </w:numPr>
      </w:pPr>
      <w:r>
        <w:t xml:space="preserve">Obesity</w:t>
      </w:r>
    </w:p>
    <w:p>
      <w:pPr>
        <w:pStyle w:val="Compact"/>
        <w:numPr>
          <w:ilvl w:val="0"/>
          <w:numId w:val="1003"/>
        </w:numPr>
      </w:pPr>
      <w:r>
        <w:t xml:space="preserve">Sedentary lifestyle</w:t>
      </w:r>
    </w:p>
    <w:p>
      <w:pPr>
        <w:pStyle w:val="Compact"/>
        <w:numPr>
          <w:ilvl w:val="0"/>
          <w:numId w:val="1003"/>
        </w:numPr>
      </w:pPr>
      <w:r>
        <w:t xml:space="preserve">Smoking</w:t>
      </w:r>
    </w:p>
    <w:p>
      <w:pPr>
        <w:pStyle w:val="Compact"/>
        <w:numPr>
          <w:ilvl w:val="0"/>
          <w:numId w:val="1003"/>
        </w:numPr>
      </w:pPr>
      <w:r>
        <w:t xml:space="preserve">Repetitive bending activities</w:t>
      </w:r>
    </w:p>
    <w:p>
      <w:r>
        <w:pict>
          <v:rect style="width:0;height:1.5pt" o:hralign="center" o:hrstd="t" o:hr="t"/>
        </w:pict>
      </w:r>
    </w:p>
    <w:bookmarkEnd w:id="22"/>
    <w:bookmarkStart w:id="24" w:name="when-should-you-seek-medical-advice"/>
    <w:p>
      <w:pPr>
        <w:pStyle w:val="Heading2"/>
      </w:pPr>
      <w:r>
        <w:t xml:space="preserve">When Should You Seek Medical Advice?</w:t>
      </w:r>
    </w:p>
    <w:p>
      <w:pPr>
        <w:pStyle w:val="FirstParagraph"/>
      </w:pPr>
      <w:r>
        <w:t xml:space="preserve">Medical evaluation is recommended if:</w:t>
      </w:r>
    </w:p>
    <w:p>
      <w:pPr>
        <w:pStyle w:val="Compact"/>
        <w:numPr>
          <w:ilvl w:val="0"/>
          <w:numId w:val="1004"/>
        </w:numPr>
      </w:pPr>
      <w:r>
        <w:t xml:space="preserve">Leg pain persists beyond a few days</w:t>
      </w:r>
    </w:p>
    <w:p>
      <w:pPr>
        <w:pStyle w:val="Compact"/>
        <w:numPr>
          <w:ilvl w:val="0"/>
          <w:numId w:val="1004"/>
        </w:numPr>
      </w:pPr>
      <w:r>
        <w:t xml:space="preserve">Symptoms interfere with sleep or daily activities</w:t>
      </w:r>
    </w:p>
    <w:p>
      <w:pPr>
        <w:pStyle w:val="Compact"/>
        <w:numPr>
          <w:ilvl w:val="0"/>
          <w:numId w:val="1004"/>
        </w:numPr>
      </w:pPr>
      <w:r>
        <w:t xml:space="preserve">Pain is progressively worsening</w:t>
      </w:r>
    </w:p>
    <w:p>
      <w:pPr>
        <w:pStyle w:val="Compact"/>
        <w:numPr>
          <w:ilvl w:val="0"/>
          <w:numId w:val="1004"/>
        </w:numPr>
      </w:pPr>
      <w:r>
        <w:t xml:space="preserve">Numbness develops in the leg or foot</w:t>
      </w:r>
    </w:p>
    <w:p>
      <w:pPr>
        <w:pStyle w:val="Compact"/>
        <w:numPr>
          <w:ilvl w:val="0"/>
          <w:numId w:val="1004"/>
        </w:numPr>
      </w:pPr>
      <w:r>
        <w:t xml:space="preserve">Weakness develops in the foot or ankle</w:t>
      </w:r>
    </w:p>
    <w:p>
      <w:pPr>
        <w:pStyle w:val="Compact"/>
        <w:numPr>
          <w:ilvl w:val="0"/>
          <w:numId w:val="1004"/>
        </w:numPr>
      </w:pPr>
      <w:r>
        <w:t xml:space="preserve">Walking becomes difficult</w:t>
      </w:r>
    </w:p>
    <w:p>
      <w:pPr>
        <w:pStyle w:val="Compact"/>
        <w:numPr>
          <w:ilvl w:val="0"/>
          <w:numId w:val="1004"/>
        </w:numPr>
      </w:pPr>
      <w:r>
        <w:t xml:space="preserve">Symptoms do not improve with rest or medications</w:t>
      </w:r>
    </w:p>
    <w:bookmarkStart w:id="23" w:name="seek-immediate-medical-attention-if"/>
    <w:p>
      <w:pPr>
        <w:pStyle w:val="Heading3"/>
      </w:pPr>
      <w:r>
        <w:t xml:space="preserve">Seek Immediate Medical Attention If:</w:t>
      </w:r>
    </w:p>
    <w:p>
      <w:pPr>
        <w:pStyle w:val="Compact"/>
        <w:numPr>
          <w:ilvl w:val="0"/>
          <w:numId w:val="1005"/>
        </w:numPr>
      </w:pPr>
      <w:r>
        <w:t xml:space="preserve">Progressive weakness develops</w:t>
      </w:r>
    </w:p>
    <w:p>
      <w:pPr>
        <w:pStyle w:val="Compact"/>
        <w:numPr>
          <w:ilvl w:val="0"/>
          <w:numId w:val="1005"/>
        </w:numPr>
      </w:pPr>
      <w:r>
        <w:t xml:space="preserve">Foot drop occurs</w:t>
      </w:r>
    </w:p>
    <w:p>
      <w:pPr>
        <w:pStyle w:val="Compact"/>
        <w:numPr>
          <w:ilvl w:val="0"/>
          <w:numId w:val="1005"/>
        </w:numPr>
      </w:pPr>
      <w:r>
        <w:t xml:space="preserve">Severe numbness develops around the groin region</w:t>
      </w:r>
    </w:p>
    <w:p>
      <w:pPr>
        <w:pStyle w:val="Compact"/>
        <w:numPr>
          <w:ilvl w:val="0"/>
          <w:numId w:val="1005"/>
        </w:numPr>
      </w:pPr>
      <w:r>
        <w:t xml:space="preserve">Loss of bladder or bowel control occurs</w:t>
      </w:r>
    </w:p>
    <w:p>
      <w:pPr>
        <w:pStyle w:val="FirstParagraph"/>
      </w:pPr>
      <w:r>
        <w:t xml:space="preserve">These symptoms may indicate severe nerve compression requiring urgent treatment.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30" w:name="how-is-it-diagnosed"/>
    <w:p>
      <w:pPr>
        <w:pStyle w:val="Heading2"/>
      </w:pPr>
      <w:r>
        <w:t xml:space="preserve">How Is It Diagnosed?</w:t>
      </w:r>
    </w:p>
    <w:bookmarkStart w:id="25" w:name="clinical-examination"/>
    <w:p>
      <w:pPr>
        <w:pStyle w:val="Heading3"/>
      </w:pPr>
      <w:r>
        <w:t xml:space="preserve">Clinical Examination</w:t>
      </w:r>
    </w:p>
    <w:p>
      <w:pPr>
        <w:pStyle w:val="FirstParagraph"/>
      </w:pPr>
      <w:r>
        <w:t xml:space="preserve">A detailed history and neurological examination help identify the affected nerve root and assess symptom severity.</w:t>
      </w:r>
    </w:p>
    <w:bookmarkEnd w:id="25"/>
    <w:bookmarkStart w:id="26" w:name="x-ray"/>
    <w:p>
      <w:pPr>
        <w:pStyle w:val="Heading3"/>
      </w:pPr>
      <w:r>
        <w:t xml:space="preserve">X-Ray</w:t>
      </w:r>
    </w:p>
    <w:p>
      <w:pPr>
        <w:pStyle w:val="FirstParagraph"/>
      </w:pPr>
      <w:r>
        <w:t xml:space="preserve">May identify spinal degeneration, instability or alignment abnormalities.</w:t>
      </w:r>
    </w:p>
    <w:bookmarkEnd w:id="26"/>
    <w:bookmarkStart w:id="27" w:name="mri"/>
    <w:p>
      <w:pPr>
        <w:pStyle w:val="Heading3"/>
      </w:pPr>
      <w:r>
        <w:t xml:space="preserve">MRI</w:t>
      </w:r>
    </w:p>
    <w:p>
      <w:pPr>
        <w:pStyle w:val="FirstParagraph"/>
      </w:pPr>
      <w:r>
        <w:t xml:space="preserve">MRI is the investigation of choice and helps identify:</w:t>
      </w:r>
    </w:p>
    <w:p>
      <w:pPr>
        <w:pStyle w:val="Compact"/>
        <w:numPr>
          <w:ilvl w:val="0"/>
          <w:numId w:val="1006"/>
        </w:numPr>
      </w:pPr>
      <w:r>
        <w:t xml:space="preserve">Slip disc</w:t>
      </w:r>
    </w:p>
    <w:p>
      <w:pPr>
        <w:pStyle w:val="Compact"/>
        <w:numPr>
          <w:ilvl w:val="0"/>
          <w:numId w:val="1006"/>
        </w:numPr>
      </w:pPr>
      <w:r>
        <w:t xml:space="preserve">Nerve compression</w:t>
      </w:r>
    </w:p>
    <w:p>
      <w:pPr>
        <w:pStyle w:val="Compact"/>
        <w:numPr>
          <w:ilvl w:val="0"/>
          <w:numId w:val="1006"/>
        </w:numPr>
      </w:pPr>
      <w:r>
        <w:t xml:space="preserve">Lumbar canal stenosis</w:t>
      </w:r>
    </w:p>
    <w:p>
      <w:pPr>
        <w:pStyle w:val="Compact"/>
        <w:numPr>
          <w:ilvl w:val="0"/>
          <w:numId w:val="1006"/>
        </w:numPr>
      </w:pPr>
      <w:r>
        <w:t xml:space="preserve">Other spinal pathologies</w:t>
      </w:r>
    </w:p>
    <w:bookmarkEnd w:id="27"/>
    <w:bookmarkStart w:id="28" w:name="ct-scan"/>
    <w:p>
      <w:pPr>
        <w:pStyle w:val="Heading3"/>
      </w:pPr>
      <w:r>
        <w:t xml:space="preserve">CT Scan</w:t>
      </w:r>
    </w:p>
    <w:p>
      <w:pPr>
        <w:pStyle w:val="FirstParagraph"/>
      </w:pPr>
      <w:r>
        <w:t xml:space="preserve">Occasionally used when MRI cannot be performed or additional bony detail is required.</w:t>
      </w:r>
    </w:p>
    <w:bookmarkEnd w:id="28"/>
    <w:bookmarkStart w:id="29" w:name="blood-tests"/>
    <w:p>
      <w:pPr>
        <w:pStyle w:val="Heading3"/>
      </w:pPr>
      <w:r>
        <w:t xml:space="preserve">Blood Tests</w:t>
      </w:r>
    </w:p>
    <w:p>
      <w:pPr>
        <w:pStyle w:val="FirstParagraph"/>
      </w:pPr>
      <w:r>
        <w:t xml:space="preserve">Rarely required unless infection or inflammatory conditions are suspected.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3" w:name="treatment-options"/>
    <w:p>
      <w:pPr>
        <w:pStyle w:val="Heading2"/>
      </w:pPr>
      <w:r>
        <w:t xml:space="preserve">Treatment Options</w:t>
      </w:r>
    </w:p>
    <w:bookmarkStart w:id="31" w:name="non-surgical-treatment"/>
    <w:p>
      <w:pPr>
        <w:pStyle w:val="Heading3"/>
      </w:pPr>
      <w:r>
        <w:t xml:space="preserve">Non-Surgical Treatment</w:t>
      </w:r>
    </w:p>
    <w:p>
      <w:pPr>
        <w:pStyle w:val="FirstParagraph"/>
      </w:pPr>
      <w:r>
        <w:t xml:space="preserve">Most patients improve without surgery.</w:t>
      </w:r>
    </w:p>
    <w:p>
      <w:pPr>
        <w:pStyle w:val="BodyText"/>
      </w:pPr>
      <w:r>
        <w:t xml:space="preserve">Treatment may include:</w:t>
      </w:r>
    </w:p>
    <w:p>
      <w:pPr>
        <w:pStyle w:val="Compact"/>
        <w:numPr>
          <w:ilvl w:val="0"/>
          <w:numId w:val="1007"/>
        </w:numPr>
      </w:pPr>
      <w:r>
        <w:t xml:space="preserve">Activity modification</w:t>
      </w:r>
    </w:p>
    <w:p>
      <w:pPr>
        <w:pStyle w:val="Compact"/>
        <w:numPr>
          <w:ilvl w:val="0"/>
          <w:numId w:val="1007"/>
        </w:numPr>
      </w:pPr>
      <w:r>
        <w:t xml:space="preserve">Medications</w:t>
      </w:r>
    </w:p>
    <w:p>
      <w:pPr>
        <w:pStyle w:val="Compact"/>
        <w:numPr>
          <w:ilvl w:val="0"/>
          <w:numId w:val="1007"/>
        </w:numPr>
      </w:pPr>
      <w:r>
        <w:t xml:space="preserve">Physiotherapy</w:t>
      </w:r>
    </w:p>
    <w:p>
      <w:pPr>
        <w:pStyle w:val="Compact"/>
        <w:numPr>
          <w:ilvl w:val="0"/>
          <w:numId w:val="1007"/>
        </w:numPr>
      </w:pPr>
      <w:r>
        <w:t xml:space="preserve">Nerve mobilization exercises</w:t>
      </w:r>
    </w:p>
    <w:p>
      <w:pPr>
        <w:pStyle w:val="Compact"/>
        <w:numPr>
          <w:ilvl w:val="0"/>
          <w:numId w:val="1007"/>
        </w:numPr>
      </w:pPr>
      <w:r>
        <w:t xml:space="preserve">Core strengthening</w:t>
      </w:r>
    </w:p>
    <w:p>
      <w:pPr>
        <w:pStyle w:val="Compact"/>
        <w:numPr>
          <w:ilvl w:val="0"/>
          <w:numId w:val="1007"/>
        </w:numPr>
      </w:pPr>
      <w:r>
        <w:t xml:space="preserve">Posture correction</w:t>
      </w:r>
    </w:p>
    <w:p>
      <w:pPr>
        <w:pStyle w:val="Compact"/>
        <w:numPr>
          <w:ilvl w:val="0"/>
          <w:numId w:val="1007"/>
        </w:numPr>
      </w:pPr>
      <w:r>
        <w:t xml:space="preserve">Weight management</w:t>
      </w:r>
    </w:p>
    <w:p>
      <w:pPr>
        <w:pStyle w:val="Compact"/>
        <w:numPr>
          <w:ilvl w:val="0"/>
          <w:numId w:val="1007"/>
        </w:numPr>
      </w:pPr>
      <w:r>
        <w:t xml:space="preserve">Lifestyle modifications</w:t>
      </w:r>
    </w:p>
    <w:p>
      <w:pPr>
        <w:pStyle w:val="FirstParagraph"/>
      </w:pPr>
      <w:r>
        <w:t xml:space="preserve">Many patients experience gradual improvement over weeks to months.</w:t>
      </w:r>
    </w:p>
    <w:p>
      <w:r>
        <w:pict>
          <v:rect style="width:0;height:1.5pt" o:hralign="center" o:hrstd="t" o:hr="t"/>
        </w:pict>
      </w:r>
    </w:p>
    <w:bookmarkEnd w:id="31"/>
    <w:bookmarkStart w:id="32" w:name="surgical-treatment"/>
    <w:p>
      <w:pPr>
        <w:pStyle w:val="Heading3"/>
      </w:pPr>
      <w:r>
        <w:t xml:space="preserve">Surgical Treatment</w:t>
      </w:r>
    </w:p>
    <w:p>
      <w:pPr>
        <w:pStyle w:val="FirstParagraph"/>
      </w:pPr>
      <w:r>
        <w:t xml:space="preserve">Surgery may be considered when:</w:t>
      </w:r>
    </w:p>
    <w:p>
      <w:pPr>
        <w:pStyle w:val="Compact"/>
        <w:numPr>
          <w:ilvl w:val="0"/>
          <w:numId w:val="1008"/>
        </w:numPr>
      </w:pPr>
      <w:r>
        <w:t xml:space="preserve">Severe pain persists despite adequate treatment</w:t>
      </w:r>
    </w:p>
    <w:p>
      <w:pPr>
        <w:pStyle w:val="Compact"/>
        <w:numPr>
          <w:ilvl w:val="0"/>
          <w:numId w:val="1008"/>
        </w:numPr>
      </w:pPr>
      <w:r>
        <w:t xml:space="preserve">Progressive weakness develops</w:t>
      </w:r>
    </w:p>
    <w:p>
      <w:pPr>
        <w:pStyle w:val="Compact"/>
        <w:numPr>
          <w:ilvl w:val="0"/>
          <w:numId w:val="1008"/>
        </w:numPr>
      </w:pPr>
      <w:r>
        <w:t xml:space="preserve">Foot drop occurs</w:t>
      </w:r>
    </w:p>
    <w:p>
      <w:pPr>
        <w:pStyle w:val="Compact"/>
        <w:numPr>
          <w:ilvl w:val="0"/>
          <w:numId w:val="1008"/>
        </w:numPr>
      </w:pPr>
      <w:r>
        <w:t xml:space="preserve">Daily activities become significantly restricted</w:t>
      </w:r>
    </w:p>
    <w:p>
      <w:pPr>
        <w:pStyle w:val="Compact"/>
        <w:numPr>
          <w:ilvl w:val="0"/>
          <w:numId w:val="1008"/>
        </w:numPr>
      </w:pPr>
      <w:r>
        <w:t xml:space="preserve">Significant nerve compression is identified on MRI</w:t>
      </w:r>
    </w:p>
    <w:p>
      <w:pPr>
        <w:pStyle w:val="FirstParagraph"/>
      </w:pPr>
      <w:r>
        <w:t xml:space="preserve">Common surgical options include:</w:t>
      </w:r>
    </w:p>
    <w:p>
      <w:pPr>
        <w:pStyle w:val="Compact"/>
        <w:numPr>
          <w:ilvl w:val="0"/>
          <w:numId w:val="1009"/>
        </w:numPr>
      </w:pPr>
      <w:r>
        <w:t xml:space="preserve">Microdiscectomy</w:t>
      </w:r>
    </w:p>
    <w:p>
      <w:pPr>
        <w:pStyle w:val="Compact"/>
        <w:numPr>
          <w:ilvl w:val="0"/>
          <w:numId w:val="1009"/>
        </w:numPr>
      </w:pPr>
      <w:r>
        <w:t xml:space="preserve">Endoscopic Discectomy</w:t>
      </w:r>
    </w:p>
    <w:p>
      <w:pPr>
        <w:pStyle w:val="Compact"/>
        <w:numPr>
          <w:ilvl w:val="0"/>
          <w:numId w:val="1009"/>
        </w:numPr>
      </w:pPr>
      <w:r>
        <w:t xml:space="preserve">Minimally Invasive Spine Surgery</w:t>
      </w:r>
    </w:p>
    <w:p>
      <w:pPr>
        <w:pStyle w:val="Compact"/>
        <w:numPr>
          <w:ilvl w:val="0"/>
          <w:numId w:val="1009"/>
        </w:numPr>
      </w:pPr>
      <w:r>
        <w:t xml:space="preserve">Lumbar Decompression Surgery</w:t>
      </w:r>
    </w:p>
    <w:p>
      <w:pPr>
        <w:pStyle w:val="FirstParagraph"/>
      </w:pPr>
      <w:r>
        <w:t xml:space="preserve">The choice of procedure depends on the underlying cause and severity of nerve compression.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44" w:name="frequently-asked-questions"/>
    <w:p>
      <w:pPr>
        <w:pStyle w:val="Heading2"/>
      </w:pPr>
      <w:r>
        <w:t xml:space="preserve">Frequently Asked Questions</w:t>
      </w:r>
    </w:p>
    <w:bookmarkStart w:id="34" w:name="what-is-sciatica"/>
    <w:p>
      <w:pPr>
        <w:pStyle w:val="Heading3"/>
      </w:pPr>
      <w:r>
        <w:t xml:space="preserve">1. What is Sciatica?</w:t>
      </w:r>
    </w:p>
    <w:p>
      <w:pPr>
        <w:pStyle w:val="FirstParagraph"/>
      </w:pPr>
      <w:r>
        <w:t xml:space="preserve">Sciatica refers to pain radiating down the leg due to irritation or compression of the sciatic nerve or its nerve roots.</w:t>
      </w:r>
    </w:p>
    <w:bookmarkEnd w:id="34"/>
    <w:bookmarkStart w:id="35" w:name="is-sciatica-the-same-as-a-slip-disc"/>
    <w:p>
      <w:pPr>
        <w:pStyle w:val="Heading3"/>
      </w:pPr>
      <w:r>
        <w:t xml:space="preserve">2. Is Sciatica the same as a Slip Disc?</w:t>
      </w:r>
    </w:p>
    <w:p>
      <w:pPr>
        <w:pStyle w:val="FirstParagraph"/>
      </w:pPr>
      <w:r>
        <w:t xml:space="preserve">No. Sciatica is a symptom, while a slip disc is one possible cause of sciatica.</w:t>
      </w:r>
    </w:p>
    <w:bookmarkEnd w:id="35"/>
    <w:bookmarkStart w:id="36" w:name="Xe5aff8602829866cf22029d5515797c63a68eed"/>
    <w:p>
      <w:pPr>
        <w:pStyle w:val="Heading3"/>
      </w:pPr>
      <w:r>
        <w:t xml:space="preserve">3. Does every patient with Sciatica need surgery?</w:t>
      </w:r>
    </w:p>
    <w:p>
      <w:pPr>
        <w:pStyle w:val="FirstParagraph"/>
      </w:pPr>
      <w:r>
        <w:t xml:space="preserve">No. Most patients improve with conservative treatment.</w:t>
      </w:r>
    </w:p>
    <w:bookmarkEnd w:id="36"/>
    <w:bookmarkStart w:id="37" w:name="how-long-does-sciatica-last"/>
    <w:p>
      <w:pPr>
        <w:pStyle w:val="Heading3"/>
      </w:pPr>
      <w:r>
        <w:t xml:space="preserve">4. How long does Sciatica last?</w:t>
      </w:r>
    </w:p>
    <w:p>
      <w:pPr>
        <w:pStyle w:val="FirstParagraph"/>
      </w:pPr>
      <w:r>
        <w:t xml:space="preserve">The duration varies, but many patients improve within weeks to a few months.</w:t>
      </w:r>
    </w:p>
    <w:bookmarkEnd w:id="37"/>
    <w:bookmarkStart w:id="38" w:name="can-walking-help-sciatica"/>
    <w:p>
      <w:pPr>
        <w:pStyle w:val="Heading3"/>
      </w:pPr>
      <w:r>
        <w:t xml:space="preserve">5. Can walking help Sciatica?</w:t>
      </w:r>
    </w:p>
    <w:p>
      <w:pPr>
        <w:pStyle w:val="FirstParagraph"/>
      </w:pPr>
      <w:r>
        <w:t xml:space="preserve">In many cases, gentle walking is beneficial and promotes recovery.</w:t>
      </w:r>
    </w:p>
    <w:bookmarkEnd w:id="38"/>
    <w:bookmarkStart w:id="39" w:name="is-bed-rest-helpful"/>
    <w:p>
      <w:pPr>
        <w:pStyle w:val="Heading3"/>
      </w:pPr>
      <w:r>
        <w:t xml:space="preserve">6. Is bed rest helpful?</w:t>
      </w:r>
    </w:p>
    <w:p>
      <w:pPr>
        <w:pStyle w:val="FirstParagraph"/>
      </w:pPr>
      <w:r>
        <w:t xml:space="preserve">Prolonged bed rest is generally discouraged as it may delay recovery.</w:t>
      </w:r>
    </w:p>
    <w:bookmarkEnd w:id="39"/>
    <w:bookmarkStart w:id="40" w:name="what-is-foot-drop"/>
    <w:p>
      <w:pPr>
        <w:pStyle w:val="Heading3"/>
      </w:pPr>
      <w:r>
        <w:t xml:space="preserve">7. What is Foot Drop?</w:t>
      </w:r>
    </w:p>
    <w:p>
      <w:pPr>
        <w:pStyle w:val="FirstParagraph"/>
      </w:pPr>
      <w:r>
        <w:t xml:space="preserve">Foot drop is weakness of the muscles that lift the foot and may indicate significant nerve compression.</w:t>
      </w:r>
    </w:p>
    <w:bookmarkEnd w:id="40"/>
    <w:bookmarkStart w:id="41" w:name="can-physiotherapy-help"/>
    <w:p>
      <w:pPr>
        <w:pStyle w:val="Heading3"/>
      </w:pPr>
      <w:r>
        <w:t xml:space="preserve">8. Can physiotherapy help?</w:t>
      </w:r>
    </w:p>
    <w:p>
      <w:pPr>
        <w:pStyle w:val="FirstParagraph"/>
      </w:pPr>
      <w:r>
        <w:t xml:space="preserve">Yes. Physiotherapy often plays an important role in recovery and prevention of recurrence.</w:t>
      </w:r>
    </w:p>
    <w:bookmarkEnd w:id="41"/>
    <w:bookmarkStart w:id="42" w:name="can-sciatica-recur"/>
    <w:p>
      <w:pPr>
        <w:pStyle w:val="Heading3"/>
      </w:pPr>
      <w:r>
        <w:t xml:space="preserve">9. Can Sciatica recur?</w:t>
      </w:r>
    </w:p>
    <w:p>
      <w:pPr>
        <w:pStyle w:val="FirstParagraph"/>
      </w:pPr>
      <w:r>
        <w:t xml:space="preserve">Yes. Symptoms may recur, particularly if underlying risk factors are not addressed.</w:t>
      </w:r>
    </w:p>
    <w:bookmarkEnd w:id="42"/>
    <w:bookmarkStart w:id="43" w:name="when-should-i-worry-about-sciatica"/>
    <w:p>
      <w:pPr>
        <w:pStyle w:val="Heading3"/>
      </w:pPr>
      <w:r>
        <w:t xml:space="preserve">10. When should I worry about Sciatica?</w:t>
      </w:r>
    </w:p>
    <w:p>
      <w:pPr>
        <w:pStyle w:val="FirstParagraph"/>
      </w:pPr>
      <w:r>
        <w:t xml:space="preserve">Progressive weakness, foot drop, severe numbness or bladder/bowel symptoms require urgent medical attention.</w:t>
      </w:r>
    </w:p>
    <w:p>
      <w:r>
        <w:pict>
          <v:rect style="width:0;height:1.5pt" o:hralign="center" o:hrstd="t" o:hr="t"/>
        </w:pict>
      </w:r>
    </w:p>
    <w:bookmarkEnd w:id="43"/>
    <w:bookmarkEnd w:id="44"/>
    <w:bookmarkStart w:id="45" w:name="related-conditions"/>
    <w:p>
      <w:pPr>
        <w:pStyle w:val="Heading2"/>
      </w:pPr>
      <w:r>
        <w:t xml:space="preserve">Related Conditions</w:t>
      </w:r>
    </w:p>
    <w:p>
      <w:pPr>
        <w:pStyle w:val="Compact"/>
        <w:numPr>
          <w:ilvl w:val="0"/>
          <w:numId w:val="1010"/>
        </w:numPr>
      </w:pPr>
      <w:r>
        <w:t xml:space="preserve">Slip Disc (Disc Herniation)</w:t>
      </w:r>
    </w:p>
    <w:p>
      <w:pPr>
        <w:pStyle w:val="Compact"/>
        <w:numPr>
          <w:ilvl w:val="0"/>
          <w:numId w:val="1010"/>
        </w:numPr>
      </w:pPr>
      <w:r>
        <w:t xml:space="preserve">Lumbar Canal Stenosis</w:t>
      </w:r>
    </w:p>
    <w:p>
      <w:pPr>
        <w:pStyle w:val="Compact"/>
        <w:numPr>
          <w:ilvl w:val="0"/>
          <w:numId w:val="1010"/>
        </w:numPr>
      </w:pPr>
      <w:r>
        <w:t xml:space="preserve">Spondylolisthesis</w:t>
      </w:r>
    </w:p>
    <w:p>
      <w:pPr>
        <w:pStyle w:val="Compact"/>
        <w:numPr>
          <w:ilvl w:val="0"/>
          <w:numId w:val="1010"/>
        </w:numPr>
      </w:pPr>
      <w:r>
        <w:t xml:space="preserve">Mechanical Low Back Pain (Lumbago)</w:t>
      </w:r>
    </w:p>
    <w:p>
      <w:pPr>
        <w:pStyle w:val="Compact"/>
        <w:numPr>
          <w:ilvl w:val="0"/>
          <w:numId w:val="1010"/>
        </w:numPr>
      </w:pPr>
      <w:r>
        <w:t xml:space="preserve">Peripheral Neuropathy</w:t>
      </w:r>
    </w:p>
    <w:p>
      <w:pPr>
        <w:pStyle w:val="Compact"/>
        <w:numPr>
          <w:ilvl w:val="0"/>
          <w:numId w:val="1010"/>
        </w:numPr>
      </w:pPr>
      <w:r>
        <w:t xml:space="preserve">Spinal Tumor</w:t>
      </w:r>
    </w:p>
    <w:p>
      <w:r>
        <w:pict>
          <v:rect style="width:0;height:1.5pt" o:hralign="center" o:hrstd="t" o:hr="t"/>
        </w:pict>
      </w:r>
    </w:p>
    <w:bookmarkEnd w:id="45"/>
    <w:bookmarkStart w:id="47" w:name="X1b68918e3b938e0b5980b877f986cbb11c4be8a"/>
    <w:p>
      <w:pPr>
        <w:pStyle w:val="Heading2"/>
      </w:pPr>
      <w:r>
        <w:t xml:space="preserve">When Should You Consult a Spine Specialist?</w:t>
      </w:r>
    </w:p>
    <w:p>
      <w:pPr>
        <w:pStyle w:val="FirstParagraph"/>
      </w:pPr>
      <w:r>
        <w:t xml:space="preserve">If you have persistent leg pain, numbness, weakness or difficulty performing daily activities, a consultation with a spine specialist can help identify the cause and guide appropriate treatment.</w:t>
      </w:r>
    </w:p>
    <w:p>
      <w:pPr>
        <w:pStyle w:val="BodyText"/>
      </w:pPr>
      <w:r>
        <w:t xml:space="preserve">Early evaluation is particularly important if symptoms are severe, progressive or associated with neurological weakness.</w:t>
      </w:r>
    </w:p>
    <w:bookmarkStart w:id="46" w:name="need-expert-advice"/>
    <w:p>
      <w:pPr>
        <w:pStyle w:val="Heading3"/>
      </w:pPr>
      <w:r>
        <w:t xml:space="preserve">Need Expert Advice?</w:t>
      </w:r>
    </w:p>
    <w:p>
      <w:pPr>
        <w:pStyle w:val="FirstParagraph"/>
      </w:pPr>
      <w:r>
        <w:t xml:space="preserve">Book a consultation with Dr. Siddharth Katkade or upload your MRI/report for review through our Patient Resource Centre.</w:t>
      </w:r>
    </w:p>
    <w:bookmarkEnd w:id="46"/>
    <w:bookmarkEnd w:id="47"/>
    <w:bookmarkEnd w:id="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2026-06-11T09:22:56Z</dcterms:created>
  <dcterms:modified xsi:type="dcterms:W3CDTF">2026-06-11T09:22:56Z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