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6" w:name="spinal-infection-surgery"/>
    <w:p>
      <w:pPr>
        <w:pStyle w:val="Heading1"/>
      </w:pPr>
      <w:r>
        <w:t xml:space="preserve">Spinal Infection Surgery</w:t>
      </w:r>
    </w:p>
    <w:bookmarkStart w:id="20" w:name="Xcf271f1c989d6f6fcb871964d128c0c81ea6ba5"/>
    <w:p>
      <w:pPr>
        <w:pStyle w:val="Heading3"/>
      </w:pPr>
      <w:r>
        <w:t xml:space="preserve">Surgery for Spondylodiscitis, Vertebral Osteomyelitis &amp; Epidural Abscess</w:t>
      </w:r>
    </w:p>
    <w:bookmarkEnd w:id="20"/>
    <w:bookmarkStart w:id="21" w:name="what-is-this-surgery"/>
    <w:p>
      <w:pPr>
        <w:pStyle w:val="Heading2"/>
      </w:pPr>
      <w:r>
        <w:t xml:space="preserve">What Is This Surgery?</w:t>
      </w:r>
    </w:p>
    <w:p>
      <w:pPr>
        <w:pStyle w:val="FirstParagraph"/>
      </w:pPr>
      <w:r>
        <w:t xml:space="preserve">Spinal Infection Surgery is performed to treat infections affecting the vertebrae, intervertebral discs, spinal canal or surrounding soft tissues when non-surgical treatment alone is insufficient.</w:t>
      </w:r>
    </w:p>
    <w:p>
      <w:pPr>
        <w:pStyle w:val="BodyText"/>
      </w:pPr>
      <w:r>
        <w:t xml:space="preserve">Spinal infections can occur due to bacterial, fungal or, less commonly, other infectious organisms. These infections may involve the disc space (Discitis), vertebrae (Osteomyelitis), epidural space (Epidural Abscess) or a combination of these structures.</w:t>
      </w:r>
    </w:p>
    <w:p>
      <w:pPr>
        <w:pStyle w:val="BodyText"/>
      </w:pPr>
      <w:r>
        <w:t xml:space="preserve">The goals of surgery are to:</w:t>
      </w:r>
    </w:p>
    <w:p>
      <w:pPr>
        <w:pStyle w:val="Compact"/>
        <w:numPr>
          <w:ilvl w:val="0"/>
          <w:numId w:val="1001"/>
        </w:numPr>
      </w:pPr>
      <w:r>
        <w:t xml:space="preserve">Remove infected tissue</w:t>
      </w:r>
    </w:p>
    <w:p>
      <w:pPr>
        <w:pStyle w:val="Compact"/>
        <w:numPr>
          <w:ilvl w:val="0"/>
          <w:numId w:val="1001"/>
        </w:numPr>
      </w:pPr>
      <w:r>
        <w:t xml:space="preserve">Relieve pressure on the spinal cord and nerves</w:t>
      </w:r>
    </w:p>
    <w:p>
      <w:pPr>
        <w:pStyle w:val="Compact"/>
        <w:numPr>
          <w:ilvl w:val="0"/>
          <w:numId w:val="1001"/>
        </w:numPr>
      </w:pPr>
      <w:r>
        <w:t xml:space="preserve">Obtain tissue samples for diagnosis</w:t>
      </w:r>
    </w:p>
    <w:p>
      <w:pPr>
        <w:pStyle w:val="Compact"/>
        <w:numPr>
          <w:ilvl w:val="0"/>
          <w:numId w:val="1001"/>
        </w:numPr>
      </w:pPr>
      <w:r>
        <w:t xml:space="preserve">Stabilize the spine if instability is present</w:t>
      </w:r>
    </w:p>
    <w:p>
      <w:pPr>
        <w:pStyle w:val="Compact"/>
        <w:numPr>
          <w:ilvl w:val="0"/>
          <w:numId w:val="1001"/>
        </w:numPr>
      </w:pPr>
      <w:r>
        <w:t xml:space="preserve">Correct deformity</w:t>
      </w:r>
    </w:p>
    <w:p>
      <w:pPr>
        <w:pStyle w:val="Compact"/>
        <w:numPr>
          <w:ilvl w:val="0"/>
          <w:numId w:val="1001"/>
        </w:numPr>
      </w:pPr>
      <w:r>
        <w:t xml:space="preserve">Facilitate recovery alongside appropriate antibiotic treatment</w:t>
      </w:r>
    </w:p>
    <w:p>
      <w:pPr>
        <w:pStyle w:val="FirstParagraph"/>
      </w:pPr>
      <w:r>
        <w:t xml:space="preserve">Depending on the location and severity of infection, surgery may be performed using minimally invasive techniques (MIS), tubular surgery or conventional open surgery.</w:t>
      </w:r>
    </w:p>
    <w:p>
      <w:r>
        <w:pict>
          <v:rect style="width:0;height:1.5pt" o:hralign="center" o:hrstd="t" o:hr="t"/>
        </w:pict>
      </w:r>
    </w:p>
    <w:bookmarkEnd w:id="21"/>
    <w:bookmarkStart w:id="22" w:name="why-is-this-surgery-performed"/>
    <w:p>
      <w:pPr>
        <w:pStyle w:val="Heading2"/>
      </w:pPr>
      <w:r>
        <w:t xml:space="preserve">Why Is This Surgery Performed?</w:t>
      </w:r>
    </w:p>
    <w:p>
      <w:pPr>
        <w:pStyle w:val="FirstParagraph"/>
      </w:pPr>
      <w:r>
        <w:t xml:space="preserve">This surgery may be recommended for:</w:t>
      </w:r>
    </w:p>
    <w:p>
      <w:pPr>
        <w:pStyle w:val="Compact"/>
        <w:numPr>
          <w:ilvl w:val="0"/>
          <w:numId w:val="1002"/>
        </w:numPr>
      </w:pPr>
      <w:r>
        <w:t xml:space="preserve">Spondylodiscitis</w:t>
      </w:r>
    </w:p>
    <w:p>
      <w:pPr>
        <w:pStyle w:val="Compact"/>
        <w:numPr>
          <w:ilvl w:val="0"/>
          <w:numId w:val="1002"/>
        </w:numPr>
      </w:pPr>
      <w:r>
        <w:t xml:space="preserve">Vertebral Osteomyelitis</w:t>
      </w:r>
    </w:p>
    <w:p>
      <w:pPr>
        <w:pStyle w:val="Compact"/>
        <w:numPr>
          <w:ilvl w:val="0"/>
          <w:numId w:val="1002"/>
        </w:numPr>
      </w:pPr>
      <w:r>
        <w:t xml:space="preserve">Epidural Abscess</w:t>
      </w:r>
    </w:p>
    <w:p>
      <w:pPr>
        <w:pStyle w:val="Compact"/>
        <w:numPr>
          <w:ilvl w:val="0"/>
          <w:numId w:val="1002"/>
        </w:numPr>
      </w:pPr>
      <w:r>
        <w:t xml:space="preserve">Persistent Spinal Infection despite antibiotics</w:t>
      </w:r>
    </w:p>
    <w:p>
      <w:pPr>
        <w:pStyle w:val="Compact"/>
        <w:numPr>
          <w:ilvl w:val="0"/>
          <w:numId w:val="1002"/>
        </w:numPr>
      </w:pPr>
      <w:r>
        <w:t xml:space="preserve">Neurological Deficits due to infection</w:t>
      </w:r>
    </w:p>
    <w:p>
      <w:pPr>
        <w:pStyle w:val="Compact"/>
        <w:numPr>
          <w:ilvl w:val="0"/>
          <w:numId w:val="1002"/>
        </w:numPr>
      </w:pPr>
      <w:r>
        <w:t xml:space="preserve">Spinal Instability caused by infection</w:t>
      </w:r>
    </w:p>
    <w:p>
      <w:pPr>
        <w:pStyle w:val="Compact"/>
        <w:numPr>
          <w:ilvl w:val="0"/>
          <w:numId w:val="1002"/>
        </w:numPr>
      </w:pPr>
      <w:r>
        <w:t xml:space="preserve">Progressive Vertebral Destruction</w:t>
      </w:r>
    </w:p>
    <w:p>
      <w:pPr>
        <w:pStyle w:val="Compact"/>
        <w:numPr>
          <w:ilvl w:val="0"/>
          <w:numId w:val="1002"/>
        </w:numPr>
      </w:pPr>
      <w:r>
        <w:t xml:space="preserve">Severe Mechanical Back Pain</w:t>
      </w:r>
    </w:p>
    <w:p>
      <w:pPr>
        <w:pStyle w:val="Compact"/>
        <w:numPr>
          <w:ilvl w:val="0"/>
          <w:numId w:val="1002"/>
        </w:numPr>
      </w:pPr>
      <w:r>
        <w:t xml:space="preserve">Diagnostic Uncertainty requiring biopsy</w:t>
      </w:r>
    </w:p>
    <w:p>
      <w:pPr>
        <w:pStyle w:val="FirstParagraph"/>
      </w:pPr>
      <w:r>
        <w:t xml:space="preserve">Common symptoms that may lead to surgery include:</w:t>
      </w:r>
    </w:p>
    <w:p>
      <w:pPr>
        <w:pStyle w:val="Compact"/>
        <w:numPr>
          <w:ilvl w:val="0"/>
          <w:numId w:val="1003"/>
        </w:numPr>
      </w:pPr>
      <w:r>
        <w:t xml:space="preserve">Persistent severe back pain</w:t>
      </w:r>
    </w:p>
    <w:p>
      <w:pPr>
        <w:pStyle w:val="Compact"/>
        <w:numPr>
          <w:ilvl w:val="0"/>
          <w:numId w:val="1003"/>
        </w:numPr>
      </w:pPr>
      <w:r>
        <w:t xml:space="preserve">Fever</w:t>
      </w:r>
    </w:p>
    <w:p>
      <w:pPr>
        <w:pStyle w:val="Compact"/>
        <w:numPr>
          <w:ilvl w:val="0"/>
          <w:numId w:val="1003"/>
        </w:numPr>
      </w:pPr>
      <w:r>
        <w:t xml:space="preserve">Night sweats</w:t>
      </w:r>
    </w:p>
    <w:p>
      <w:pPr>
        <w:pStyle w:val="Compact"/>
        <w:numPr>
          <w:ilvl w:val="0"/>
          <w:numId w:val="1003"/>
        </w:numPr>
      </w:pPr>
      <w:r>
        <w:t xml:space="preserve">Unexplained weight loss</w:t>
      </w:r>
    </w:p>
    <w:p>
      <w:pPr>
        <w:pStyle w:val="Compact"/>
        <w:numPr>
          <w:ilvl w:val="0"/>
          <w:numId w:val="1003"/>
        </w:numPr>
      </w:pPr>
      <w:r>
        <w:t xml:space="preserve">Difficulty walking</w:t>
      </w:r>
    </w:p>
    <w:p>
      <w:pPr>
        <w:pStyle w:val="Compact"/>
        <w:numPr>
          <w:ilvl w:val="0"/>
          <w:numId w:val="1003"/>
        </w:numPr>
      </w:pPr>
      <w:r>
        <w:t xml:space="preserve">Leg weakness</w:t>
      </w:r>
    </w:p>
    <w:p>
      <w:pPr>
        <w:pStyle w:val="Compact"/>
        <w:numPr>
          <w:ilvl w:val="0"/>
          <w:numId w:val="1003"/>
        </w:numPr>
      </w:pPr>
      <w:r>
        <w:t xml:space="preserve">Numbness</w:t>
      </w:r>
    </w:p>
    <w:p>
      <w:pPr>
        <w:pStyle w:val="Compact"/>
        <w:numPr>
          <w:ilvl w:val="0"/>
          <w:numId w:val="1003"/>
        </w:numPr>
      </w:pPr>
      <w:r>
        <w:t xml:space="preserve">Progressive spinal deformity</w:t>
      </w:r>
    </w:p>
    <w:p>
      <w:pPr>
        <w:pStyle w:val="Compact"/>
        <w:numPr>
          <w:ilvl w:val="0"/>
          <w:numId w:val="1003"/>
        </w:numPr>
      </w:pPr>
      <w:r>
        <w:t xml:space="preserve">Failure to improve with medical treatment</w:t>
      </w:r>
    </w:p>
    <w:p>
      <w:r>
        <w:pict>
          <v:rect style="width:0;height:1.5pt" o:hralign="center" o:hrstd="t" o:hr="t"/>
        </w:pict>
      </w:r>
    </w:p>
    <w:bookmarkEnd w:id="22"/>
    <w:bookmarkStart w:id="23" w:name="who-is-a-suitable-candidate"/>
    <w:p>
      <w:pPr>
        <w:pStyle w:val="Heading2"/>
      </w:pPr>
      <w:r>
        <w:t xml:space="preserve">Who Is A Suitable Candidate?</w:t>
      </w:r>
    </w:p>
    <w:p>
      <w:pPr>
        <w:pStyle w:val="FirstParagraph"/>
      </w:pPr>
      <w:r>
        <w:t xml:space="preserve">You may be a suitable candidate if:</w:t>
      </w:r>
    </w:p>
    <w:p>
      <w:pPr>
        <w:pStyle w:val="BodyText"/>
      </w:pPr>
      <w:r>
        <w:t xml:space="preserve">✓ Infection is causing spinal instability</w:t>
      </w:r>
    </w:p>
    <w:p>
      <w:pPr>
        <w:pStyle w:val="BodyText"/>
      </w:pPr>
      <w:r>
        <w:t xml:space="preserve">✓ Neurological symptoms have developed</w:t>
      </w:r>
    </w:p>
    <w:p>
      <w:pPr>
        <w:pStyle w:val="BodyText"/>
      </w:pPr>
      <w:r>
        <w:t xml:space="preserve">✓ Significant vertebral destruction is present</w:t>
      </w:r>
    </w:p>
    <w:p>
      <w:pPr>
        <w:pStyle w:val="BodyText"/>
      </w:pPr>
      <w:r>
        <w:t xml:space="preserve">✓ MRI shows spinal cord or nerve compression</w:t>
      </w:r>
    </w:p>
    <w:p>
      <w:pPr>
        <w:pStyle w:val="BodyText"/>
      </w:pPr>
      <w:r>
        <w:t xml:space="preserve">✓ Antibiotic treatment alone has failed</w:t>
      </w:r>
    </w:p>
    <w:p>
      <w:pPr>
        <w:pStyle w:val="BodyText"/>
      </w:pPr>
      <w:r>
        <w:t xml:space="preserve">✓ Severe pain is limiting mobility</w:t>
      </w:r>
    </w:p>
    <w:p>
      <w:pPr>
        <w:pStyle w:val="BodyText"/>
      </w:pPr>
      <w:r>
        <w:t xml:space="preserve">✓ A tissue diagnosis (biopsy) is required</w:t>
      </w:r>
    </w:p>
    <w:p>
      <w:pPr>
        <w:pStyle w:val="BodyText"/>
      </w:pPr>
      <w:r>
        <w:t xml:space="preserve">✓ Progressive deformity is developing</w:t>
      </w:r>
    </w:p>
    <w:p>
      <w:r>
        <w:pict>
          <v:rect style="width:0;height:1.5pt" o:hralign="center" o:hrstd="t" o:hr="t"/>
        </w:pict>
      </w:r>
    </w:p>
    <w:bookmarkEnd w:id="23"/>
    <w:bookmarkStart w:id="32" w:name="how-is-the-surgery-performed"/>
    <w:p>
      <w:pPr>
        <w:pStyle w:val="Heading2"/>
      </w:pPr>
      <w:r>
        <w:t xml:space="preserve">How Is The Surgery Performed?</w:t>
      </w:r>
    </w:p>
    <w:bookmarkStart w:id="24" w:name="step-1"/>
    <w:p>
      <w:pPr>
        <w:pStyle w:val="Heading3"/>
      </w:pPr>
      <w:r>
        <w:t xml:space="preserve">Step 1</w:t>
      </w:r>
    </w:p>
    <w:p>
      <w:pPr>
        <w:pStyle w:val="FirstParagraph"/>
      </w:pPr>
      <w:r>
        <w:t xml:space="preserve">The procedure is performed under general anesthesia.</w:t>
      </w:r>
    </w:p>
    <w:bookmarkEnd w:id="24"/>
    <w:bookmarkStart w:id="25" w:name="step-2"/>
    <w:p>
      <w:pPr>
        <w:pStyle w:val="Heading3"/>
      </w:pPr>
      <w:r>
        <w:t xml:space="preserve">Step 2</w:t>
      </w:r>
    </w:p>
    <w:p>
      <w:pPr>
        <w:pStyle w:val="FirstParagraph"/>
      </w:pPr>
      <w:r>
        <w:t xml:space="preserve">The affected spinal level is identified using advanced imaging guidance.</w:t>
      </w:r>
    </w:p>
    <w:bookmarkEnd w:id="25"/>
    <w:bookmarkStart w:id="26" w:name="step-3"/>
    <w:p>
      <w:pPr>
        <w:pStyle w:val="Heading3"/>
      </w:pPr>
      <w:r>
        <w:t xml:space="preserve">Step 3</w:t>
      </w:r>
    </w:p>
    <w:p>
      <w:pPr>
        <w:pStyle w:val="FirstParagraph"/>
      </w:pPr>
      <w:r>
        <w:t xml:space="preserve">The infected tissue, pus collection or abscess is carefully accessed.</w:t>
      </w:r>
    </w:p>
    <w:bookmarkEnd w:id="26"/>
    <w:bookmarkStart w:id="27" w:name="step-4"/>
    <w:p>
      <w:pPr>
        <w:pStyle w:val="Heading3"/>
      </w:pPr>
      <w:r>
        <w:t xml:space="preserve">Step 4</w:t>
      </w:r>
    </w:p>
    <w:p>
      <w:pPr>
        <w:pStyle w:val="FirstParagraph"/>
      </w:pPr>
      <w:r>
        <w:t xml:space="preserve">Samples are collected and sent for microbiological and pathological analysis to identify the infecting organism.</w:t>
      </w:r>
    </w:p>
    <w:bookmarkEnd w:id="27"/>
    <w:bookmarkStart w:id="28" w:name="step-5"/>
    <w:p>
      <w:pPr>
        <w:pStyle w:val="Heading3"/>
      </w:pPr>
      <w:r>
        <w:t xml:space="preserve">Step 5</w:t>
      </w:r>
    </w:p>
    <w:p>
      <w:pPr>
        <w:pStyle w:val="FirstParagraph"/>
      </w:pPr>
      <w:r>
        <w:t xml:space="preserve">The infected and damaged tissue is thoroughly cleaned and removed (debridement).</w:t>
      </w:r>
    </w:p>
    <w:bookmarkEnd w:id="28"/>
    <w:bookmarkStart w:id="29" w:name="step-6"/>
    <w:p>
      <w:pPr>
        <w:pStyle w:val="Heading3"/>
      </w:pPr>
      <w:r>
        <w:t xml:space="preserve">Step 6</w:t>
      </w:r>
    </w:p>
    <w:p>
      <w:pPr>
        <w:pStyle w:val="FirstParagraph"/>
      </w:pPr>
      <w:r>
        <w:t xml:space="preserve">If the spinal cord or nerves are compressed, decompression is performed.</w:t>
      </w:r>
    </w:p>
    <w:bookmarkEnd w:id="29"/>
    <w:bookmarkStart w:id="30" w:name="step-7"/>
    <w:p>
      <w:pPr>
        <w:pStyle w:val="Heading3"/>
      </w:pPr>
      <w:r>
        <w:t xml:space="preserve">Step 7</w:t>
      </w:r>
    </w:p>
    <w:p>
      <w:pPr>
        <w:pStyle w:val="FirstParagraph"/>
      </w:pPr>
      <w:r>
        <w:t xml:space="preserve">If spinal instability is present, fixation using screws and rods may be required.</w:t>
      </w:r>
    </w:p>
    <w:bookmarkEnd w:id="30"/>
    <w:bookmarkStart w:id="31" w:name="step-8"/>
    <w:p>
      <w:pPr>
        <w:pStyle w:val="Heading3"/>
      </w:pPr>
      <w:r>
        <w:t xml:space="preserve">Step 8</w:t>
      </w:r>
    </w:p>
    <w:p>
      <w:pPr>
        <w:pStyle w:val="FirstParagraph"/>
      </w:pPr>
      <w:r>
        <w:t xml:space="preserve">The wound is irrigated, cleaned and closed.</w:t>
      </w:r>
    </w:p>
    <w:p>
      <w:pPr>
        <w:pStyle w:val="BodyText"/>
      </w:pPr>
      <w:r>
        <w:t xml:space="preserve">The exact surgical approach depends on the location, severity and extent of infection.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what-are-the-advantages"/>
    <w:p>
      <w:pPr>
        <w:pStyle w:val="Heading2"/>
      </w:pPr>
      <w:r>
        <w:t xml:space="preserve">What Are The Advantages?</w:t>
      </w:r>
    </w:p>
    <w:p>
      <w:pPr>
        <w:pStyle w:val="FirstParagraph"/>
      </w:pPr>
      <w:r>
        <w:t xml:space="preserve">Potential benefits include:</w:t>
      </w:r>
    </w:p>
    <w:p>
      <w:pPr>
        <w:pStyle w:val="Compact"/>
        <w:numPr>
          <w:ilvl w:val="0"/>
          <w:numId w:val="1004"/>
        </w:numPr>
      </w:pPr>
      <w:r>
        <w:t xml:space="preserve">Removal of infected tissue</w:t>
      </w:r>
    </w:p>
    <w:p>
      <w:pPr>
        <w:pStyle w:val="Compact"/>
        <w:numPr>
          <w:ilvl w:val="0"/>
          <w:numId w:val="1004"/>
        </w:numPr>
      </w:pPr>
      <w:r>
        <w:t xml:space="preserve">Relief of spinal cord or nerve compression</w:t>
      </w:r>
    </w:p>
    <w:p>
      <w:pPr>
        <w:pStyle w:val="Compact"/>
        <w:numPr>
          <w:ilvl w:val="0"/>
          <w:numId w:val="1004"/>
        </w:numPr>
      </w:pPr>
      <w:r>
        <w:t xml:space="preserve">Accurate diagnosis through tissue sampling</w:t>
      </w:r>
    </w:p>
    <w:p>
      <w:pPr>
        <w:pStyle w:val="Compact"/>
        <w:numPr>
          <w:ilvl w:val="0"/>
          <w:numId w:val="1004"/>
        </w:numPr>
      </w:pPr>
      <w:r>
        <w:t xml:space="preserve">Reduction in pain</w:t>
      </w:r>
    </w:p>
    <w:p>
      <w:pPr>
        <w:pStyle w:val="Compact"/>
        <w:numPr>
          <w:ilvl w:val="0"/>
          <w:numId w:val="1004"/>
        </w:numPr>
      </w:pPr>
      <w:r>
        <w:t xml:space="preserve">Improved mobility</w:t>
      </w:r>
    </w:p>
    <w:p>
      <w:pPr>
        <w:pStyle w:val="Compact"/>
        <w:numPr>
          <w:ilvl w:val="0"/>
          <w:numId w:val="1004"/>
        </w:numPr>
      </w:pPr>
      <w:r>
        <w:t xml:space="preserve">Restoration of spinal stability</w:t>
      </w:r>
    </w:p>
    <w:p>
      <w:pPr>
        <w:pStyle w:val="Compact"/>
        <w:numPr>
          <w:ilvl w:val="0"/>
          <w:numId w:val="1004"/>
        </w:numPr>
      </w:pPr>
      <w:r>
        <w:t xml:space="preserve">Prevention of progressive deformity</w:t>
      </w:r>
    </w:p>
    <w:p>
      <w:pPr>
        <w:pStyle w:val="Compact"/>
        <w:numPr>
          <w:ilvl w:val="0"/>
          <w:numId w:val="1004"/>
        </w:numPr>
      </w:pPr>
      <w:r>
        <w:t xml:space="preserve">Facilitation of targeted antibiotic treatment</w:t>
      </w:r>
    </w:p>
    <w:p>
      <w:pPr>
        <w:pStyle w:val="Compact"/>
        <w:numPr>
          <w:ilvl w:val="0"/>
          <w:numId w:val="1004"/>
        </w:numPr>
      </w:pPr>
      <w:r>
        <w:t xml:space="preserve">Improved quality of life</w:t>
      </w:r>
    </w:p>
    <w:p>
      <w:pPr>
        <w:pStyle w:val="FirstParagraph"/>
      </w:pPr>
      <w:r>
        <w:t xml:space="preserve">Surgery often complements antibiotic therapy and helps achieve infection control in complex cases.</w:t>
      </w:r>
    </w:p>
    <w:p>
      <w:r>
        <w:pict>
          <v:rect style="width:0;height:1.5pt" o:hralign="center" o:hrstd="t" o:hr="t"/>
        </w:pict>
      </w:r>
    </w:p>
    <w:bookmarkEnd w:id="33"/>
    <w:bookmarkStart w:id="34" w:name="what-are-the-risks"/>
    <w:p>
      <w:pPr>
        <w:pStyle w:val="Heading2"/>
      </w:pPr>
      <w:r>
        <w:t xml:space="preserve">What Are The Risks?</w:t>
      </w:r>
    </w:p>
    <w:p>
      <w:pPr>
        <w:pStyle w:val="FirstParagraph"/>
      </w:pPr>
      <w:r>
        <w:t xml:space="preserve">Every surgical procedure carries certain theoretical risks and potential complications. However, every effort is made to minimise these risks through meticulous planning, advanced technology and comprehensive patient optimisation.</w:t>
      </w:r>
    </w:p>
    <w:p>
      <w:pPr>
        <w:pStyle w:val="BodyText"/>
      </w:pPr>
      <w:r>
        <w:t xml:space="preserve">At Bombay Spine Clinic™, Spinal Infection Surgery is performed using modern imaging guidance, microsurgical techniques and minimally invasive approaches whenever appropriate. These techniques allow effective infection clearance while minimizing tissue disruption.</w:t>
      </w:r>
    </w:p>
    <w:p>
      <w:pPr>
        <w:pStyle w:val="BodyText"/>
      </w:pPr>
      <w:r>
        <w:t xml:space="preserve">In addition, every patient undergoes a multidisciplinary assessment involving infectious disease specialists, physicians, cardiologists, anaesthetists and other specialists when required. This collaborative approach helps optimise patient safety and improve outcomes.</w:t>
      </w:r>
    </w:p>
    <w:p>
      <w:pPr>
        <w:pStyle w:val="BodyText"/>
      </w:pPr>
      <w:r>
        <w:t xml:space="preserve">Potential risks that are discussed with patients include:</w:t>
      </w:r>
    </w:p>
    <w:p>
      <w:pPr>
        <w:pStyle w:val="Compact"/>
        <w:numPr>
          <w:ilvl w:val="0"/>
          <w:numId w:val="1005"/>
        </w:numPr>
      </w:pPr>
      <w:r>
        <w:t xml:space="preserve">Infection recurrence</w:t>
      </w:r>
    </w:p>
    <w:p>
      <w:pPr>
        <w:pStyle w:val="Compact"/>
        <w:numPr>
          <w:ilvl w:val="0"/>
          <w:numId w:val="1005"/>
        </w:numPr>
      </w:pPr>
      <w:r>
        <w:t xml:space="preserve">Bleeding</w:t>
      </w:r>
    </w:p>
    <w:p>
      <w:pPr>
        <w:pStyle w:val="Compact"/>
        <w:numPr>
          <w:ilvl w:val="0"/>
          <w:numId w:val="1005"/>
        </w:numPr>
      </w:pPr>
      <w:r>
        <w:t xml:space="preserve">Dural tear (CSF leak)</w:t>
      </w:r>
    </w:p>
    <w:p>
      <w:pPr>
        <w:pStyle w:val="Compact"/>
        <w:numPr>
          <w:ilvl w:val="0"/>
          <w:numId w:val="1005"/>
        </w:numPr>
      </w:pPr>
      <w:r>
        <w:t xml:space="preserve">Nerve injury</w:t>
      </w:r>
    </w:p>
    <w:p>
      <w:pPr>
        <w:pStyle w:val="Compact"/>
        <w:numPr>
          <w:ilvl w:val="0"/>
          <w:numId w:val="1005"/>
        </w:numPr>
      </w:pPr>
      <w:r>
        <w:t xml:space="preserve">Persistent pain</w:t>
      </w:r>
    </w:p>
    <w:p>
      <w:pPr>
        <w:pStyle w:val="Compact"/>
        <w:numPr>
          <w:ilvl w:val="0"/>
          <w:numId w:val="1005"/>
        </w:numPr>
      </w:pPr>
      <w:r>
        <w:t xml:space="preserve">Persistent neurological symptoms</w:t>
      </w:r>
    </w:p>
    <w:p>
      <w:pPr>
        <w:pStyle w:val="Compact"/>
        <w:numPr>
          <w:ilvl w:val="0"/>
          <w:numId w:val="1005"/>
        </w:numPr>
      </w:pPr>
      <w:r>
        <w:t xml:space="preserve">Implant-related complications (if fixation is performed)</w:t>
      </w:r>
    </w:p>
    <w:p>
      <w:pPr>
        <w:pStyle w:val="Compact"/>
        <w:numPr>
          <w:ilvl w:val="0"/>
          <w:numId w:val="1005"/>
        </w:numPr>
      </w:pPr>
      <w:r>
        <w:t xml:space="preserve">Delayed healing</w:t>
      </w:r>
    </w:p>
    <w:p>
      <w:pPr>
        <w:pStyle w:val="Compact"/>
        <w:numPr>
          <w:ilvl w:val="0"/>
          <w:numId w:val="1005"/>
        </w:numPr>
      </w:pPr>
      <w:r>
        <w:t xml:space="preserve">Failure to completely eradicate infection</w:t>
      </w:r>
    </w:p>
    <w:p>
      <w:pPr>
        <w:pStyle w:val="Compact"/>
        <w:numPr>
          <w:ilvl w:val="0"/>
          <w:numId w:val="1005"/>
        </w:numPr>
      </w:pPr>
      <w:r>
        <w:t xml:space="preserve">Rare need for additional surgery</w:t>
      </w:r>
    </w:p>
    <w:p>
      <w:pPr>
        <w:pStyle w:val="FirstParagraph"/>
      </w:pPr>
      <w:r>
        <w:t xml:space="preserve">Fortunately, the incidence of major complications is reduced through careful patient selection, targeted antimicrobial therapy and meticulous surgical technique.</w:t>
      </w:r>
    </w:p>
    <w:p>
      <w:r>
        <w:pict>
          <v:rect style="width:0;height:1.5pt" o:hralign="center" o:hrstd="t" o:hr="t"/>
        </w:pict>
      </w:r>
    </w:p>
    <w:bookmarkEnd w:id="34"/>
    <w:bookmarkStart w:id="35" w:name="preparing-for-surgery"/>
    <w:p>
      <w:pPr>
        <w:pStyle w:val="Heading2"/>
      </w:pPr>
      <w:r>
        <w:t xml:space="preserve">Preparing For Surgery</w:t>
      </w:r>
    </w:p>
    <w:p>
      <w:pPr>
        <w:pStyle w:val="FirstParagraph"/>
      </w:pPr>
      <w:r>
        <w:t xml:space="preserve">Before surgery:</w:t>
      </w:r>
    </w:p>
    <w:p>
      <w:pPr>
        <w:pStyle w:val="Compact"/>
        <w:numPr>
          <w:ilvl w:val="0"/>
          <w:numId w:val="1006"/>
        </w:numPr>
      </w:pPr>
      <w:r>
        <w:t xml:space="preserve">Clinical evaluation</w:t>
      </w:r>
    </w:p>
    <w:p>
      <w:pPr>
        <w:pStyle w:val="Compact"/>
        <w:numPr>
          <w:ilvl w:val="0"/>
          <w:numId w:val="1006"/>
        </w:numPr>
      </w:pPr>
      <w:r>
        <w:t xml:space="preserve">MRI review</w:t>
      </w:r>
    </w:p>
    <w:p>
      <w:pPr>
        <w:pStyle w:val="Compact"/>
        <w:numPr>
          <w:ilvl w:val="0"/>
          <w:numId w:val="1006"/>
        </w:numPr>
      </w:pPr>
      <w:r>
        <w:t xml:space="preserve">CT scan review</w:t>
      </w:r>
    </w:p>
    <w:p>
      <w:pPr>
        <w:pStyle w:val="Compact"/>
        <w:numPr>
          <w:ilvl w:val="0"/>
          <w:numId w:val="1006"/>
        </w:numPr>
      </w:pPr>
      <w:r>
        <w:t xml:space="preserve">Blood investigations</w:t>
      </w:r>
    </w:p>
    <w:p>
      <w:pPr>
        <w:pStyle w:val="Compact"/>
        <w:numPr>
          <w:ilvl w:val="0"/>
          <w:numId w:val="1006"/>
        </w:numPr>
      </w:pPr>
      <w:r>
        <w:t xml:space="preserve">Infection markers (ESR, CRP)</w:t>
      </w:r>
    </w:p>
    <w:p>
      <w:pPr>
        <w:pStyle w:val="Compact"/>
        <w:numPr>
          <w:ilvl w:val="0"/>
          <w:numId w:val="1006"/>
        </w:numPr>
      </w:pPr>
      <w:r>
        <w:t xml:space="preserve">Blood cultures (if required)</w:t>
      </w:r>
    </w:p>
    <w:p>
      <w:pPr>
        <w:pStyle w:val="Compact"/>
        <w:numPr>
          <w:ilvl w:val="0"/>
          <w:numId w:val="1006"/>
        </w:numPr>
      </w:pPr>
      <w:r>
        <w:t xml:space="preserve">Medical fitness assessment</w:t>
      </w:r>
    </w:p>
    <w:p>
      <w:pPr>
        <w:pStyle w:val="Compact"/>
        <w:numPr>
          <w:ilvl w:val="0"/>
          <w:numId w:val="1006"/>
        </w:numPr>
      </w:pPr>
      <w:r>
        <w:t xml:space="preserve">Medication review</w:t>
      </w:r>
    </w:p>
    <w:p>
      <w:pPr>
        <w:pStyle w:val="Compact"/>
        <w:numPr>
          <w:ilvl w:val="0"/>
          <w:numId w:val="1006"/>
        </w:numPr>
      </w:pPr>
      <w:r>
        <w:t xml:space="preserve">Anaesthesia assessment</w:t>
      </w:r>
    </w:p>
    <w:p>
      <w:pPr>
        <w:pStyle w:val="FirstParagraph"/>
      </w:pPr>
      <w:r>
        <w:t xml:space="preserve">Patients should inform their doctor regarding:</w:t>
      </w:r>
    </w:p>
    <w:p>
      <w:pPr>
        <w:pStyle w:val="Compact"/>
        <w:numPr>
          <w:ilvl w:val="0"/>
          <w:numId w:val="1007"/>
        </w:numPr>
      </w:pPr>
      <w:r>
        <w:t xml:space="preserve">Diabetes</w:t>
      </w:r>
    </w:p>
    <w:p>
      <w:pPr>
        <w:pStyle w:val="Compact"/>
        <w:numPr>
          <w:ilvl w:val="0"/>
          <w:numId w:val="1007"/>
        </w:numPr>
      </w:pPr>
      <w:r>
        <w:t xml:space="preserve">Heart disease</w:t>
      </w:r>
    </w:p>
    <w:p>
      <w:pPr>
        <w:pStyle w:val="Compact"/>
        <w:numPr>
          <w:ilvl w:val="0"/>
          <w:numId w:val="1007"/>
        </w:numPr>
      </w:pPr>
      <w:r>
        <w:t xml:space="preserve">Kidney disease</w:t>
      </w:r>
    </w:p>
    <w:p>
      <w:pPr>
        <w:pStyle w:val="Compact"/>
        <w:numPr>
          <w:ilvl w:val="0"/>
          <w:numId w:val="1007"/>
        </w:numPr>
      </w:pPr>
      <w:r>
        <w:t xml:space="preserve">Previous infections</w:t>
      </w:r>
    </w:p>
    <w:p>
      <w:pPr>
        <w:pStyle w:val="Compact"/>
        <w:numPr>
          <w:ilvl w:val="0"/>
          <w:numId w:val="1007"/>
        </w:numPr>
      </w:pPr>
      <w:r>
        <w:t xml:space="preserve">Current antibiotic treatment</w:t>
      </w:r>
    </w:p>
    <w:p>
      <w:pPr>
        <w:pStyle w:val="Compact"/>
        <w:numPr>
          <w:ilvl w:val="0"/>
          <w:numId w:val="1007"/>
        </w:numPr>
      </w:pPr>
      <w:r>
        <w:t xml:space="preserve">Previous surgeries</w:t>
      </w:r>
    </w:p>
    <w:p>
      <w:pPr>
        <w:pStyle w:val="Compact"/>
        <w:numPr>
          <w:ilvl w:val="0"/>
          <w:numId w:val="1007"/>
        </w:numPr>
      </w:pPr>
      <w:r>
        <w:t xml:space="preserve">Allergies</w:t>
      </w:r>
    </w:p>
    <w:p>
      <w:r>
        <w:pict>
          <v:rect style="width:0;height:1.5pt" o:hralign="center" o:hrstd="t" o:hr="t"/>
        </w:pict>
      </w:r>
    </w:p>
    <w:bookmarkEnd w:id="35"/>
    <w:bookmarkStart w:id="39" w:name="what-happens-during-hospital-stay"/>
    <w:p>
      <w:pPr>
        <w:pStyle w:val="Heading2"/>
      </w:pPr>
      <w:r>
        <w:t xml:space="preserve">What Happens During Hospital Stay?</w:t>
      </w:r>
    </w:p>
    <w:bookmarkStart w:id="36" w:name="day-of-surgery"/>
    <w:p>
      <w:pPr>
        <w:pStyle w:val="Heading3"/>
      </w:pPr>
      <w:r>
        <w:t xml:space="preserve">Day of Surgery</w:t>
      </w:r>
    </w:p>
    <w:p>
      <w:pPr>
        <w:pStyle w:val="Compact"/>
        <w:numPr>
          <w:ilvl w:val="0"/>
          <w:numId w:val="1008"/>
        </w:numPr>
      </w:pPr>
      <w:r>
        <w:t xml:space="preserve">Hospital admission</w:t>
      </w:r>
    </w:p>
    <w:p>
      <w:pPr>
        <w:pStyle w:val="Compact"/>
        <w:numPr>
          <w:ilvl w:val="0"/>
          <w:numId w:val="1008"/>
        </w:numPr>
      </w:pPr>
      <w:r>
        <w:t xml:space="preserve">Surgery</w:t>
      </w:r>
    </w:p>
    <w:p>
      <w:pPr>
        <w:pStyle w:val="Compact"/>
        <w:numPr>
          <w:ilvl w:val="0"/>
          <w:numId w:val="1008"/>
        </w:numPr>
      </w:pPr>
      <w:r>
        <w:t xml:space="preserve">Recovery room observation</w:t>
      </w:r>
    </w:p>
    <w:p>
      <w:pPr>
        <w:pStyle w:val="Compact"/>
        <w:numPr>
          <w:ilvl w:val="0"/>
          <w:numId w:val="1008"/>
        </w:numPr>
      </w:pPr>
      <w:r>
        <w:t xml:space="preserve">Pain management</w:t>
      </w:r>
    </w:p>
    <w:p>
      <w:pPr>
        <w:pStyle w:val="Compact"/>
        <w:numPr>
          <w:ilvl w:val="0"/>
          <w:numId w:val="1008"/>
        </w:numPr>
      </w:pPr>
      <w:r>
        <w:t xml:space="preserve">Monitoring of neurological function</w:t>
      </w:r>
    </w:p>
    <w:bookmarkEnd w:id="36"/>
    <w:bookmarkStart w:id="37" w:name="first-2472-hours"/>
    <w:p>
      <w:pPr>
        <w:pStyle w:val="Heading3"/>
      </w:pPr>
      <w:r>
        <w:t xml:space="preserve">First 24–72 Hours</w:t>
      </w:r>
    </w:p>
    <w:p>
      <w:pPr>
        <w:pStyle w:val="Compact"/>
        <w:numPr>
          <w:ilvl w:val="0"/>
          <w:numId w:val="1009"/>
        </w:numPr>
      </w:pPr>
      <w:r>
        <w:t xml:space="preserve">Assisted mobilization</w:t>
      </w:r>
    </w:p>
    <w:p>
      <w:pPr>
        <w:pStyle w:val="Compact"/>
        <w:numPr>
          <w:ilvl w:val="0"/>
          <w:numId w:val="1009"/>
        </w:numPr>
      </w:pPr>
      <w:r>
        <w:t xml:space="preserve">Physiotherapy guidance</w:t>
      </w:r>
    </w:p>
    <w:p>
      <w:pPr>
        <w:pStyle w:val="Compact"/>
        <w:numPr>
          <w:ilvl w:val="0"/>
          <w:numId w:val="1009"/>
        </w:numPr>
      </w:pPr>
      <w:r>
        <w:t xml:space="preserve">Wound care</w:t>
      </w:r>
    </w:p>
    <w:p>
      <w:pPr>
        <w:pStyle w:val="Compact"/>
        <w:numPr>
          <w:ilvl w:val="0"/>
          <w:numId w:val="1009"/>
        </w:numPr>
      </w:pPr>
      <w:r>
        <w:t xml:space="preserve">Monitoring of infection markers</w:t>
      </w:r>
    </w:p>
    <w:p>
      <w:pPr>
        <w:pStyle w:val="Compact"/>
        <w:numPr>
          <w:ilvl w:val="0"/>
          <w:numId w:val="1009"/>
        </w:numPr>
      </w:pPr>
      <w:r>
        <w:t xml:space="preserve">Review of culture reports</w:t>
      </w:r>
    </w:p>
    <w:bookmarkEnd w:id="37"/>
    <w:bookmarkStart w:id="38" w:name="discharge"/>
    <w:p>
      <w:pPr>
        <w:pStyle w:val="Heading3"/>
      </w:pPr>
      <w:r>
        <w:t xml:space="preserve">Discharge</w:t>
      </w:r>
    </w:p>
    <w:p>
      <w:pPr>
        <w:pStyle w:val="FirstParagraph"/>
      </w:pPr>
      <w:r>
        <w:t xml:space="preserve">Most patients are discharged within:</w:t>
      </w:r>
    </w:p>
    <w:p>
      <w:pPr>
        <w:pStyle w:val="Compact"/>
        <w:numPr>
          <w:ilvl w:val="0"/>
          <w:numId w:val="1010"/>
        </w:numPr>
      </w:pPr>
      <w:r>
        <w:t xml:space="preserve">3–7 days</w:t>
      </w:r>
    </w:p>
    <w:p>
      <w:pPr>
        <w:pStyle w:val="FirstParagraph"/>
      </w:pPr>
      <w:r>
        <w:t xml:space="preserve">depending on the severity of infection, overall medical condition and recovery.</w:t>
      </w:r>
    </w:p>
    <w:p>
      <w:pPr>
        <w:pStyle w:val="BodyText"/>
      </w:pPr>
      <w:r>
        <w:t xml:space="preserve">Some patients may require prolonged antibiotic therapy after discharge.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4" w:name="recovery-after-surgery"/>
    <w:p>
      <w:pPr>
        <w:pStyle w:val="Heading2"/>
      </w:pPr>
      <w:r>
        <w:t xml:space="preserve">Recovery After Surgery</w:t>
      </w:r>
    </w:p>
    <w:bookmarkStart w:id="40" w:name="week-1"/>
    <w:p>
      <w:pPr>
        <w:pStyle w:val="Heading3"/>
      </w:pPr>
      <w:r>
        <w:t xml:space="preserve">Week 1</w:t>
      </w:r>
    </w:p>
    <w:p>
      <w:pPr>
        <w:pStyle w:val="FirstParagraph"/>
      </w:pPr>
      <w:r>
        <w:t xml:space="preserve">Expected symptoms:</w:t>
      </w:r>
    </w:p>
    <w:p>
      <w:pPr>
        <w:pStyle w:val="Compact"/>
        <w:numPr>
          <w:ilvl w:val="0"/>
          <w:numId w:val="1011"/>
        </w:numPr>
      </w:pPr>
      <w:r>
        <w:t xml:space="preserve">Surgical site discomfort</w:t>
      </w:r>
    </w:p>
    <w:p>
      <w:pPr>
        <w:pStyle w:val="Compact"/>
        <w:numPr>
          <w:ilvl w:val="0"/>
          <w:numId w:val="1011"/>
        </w:numPr>
      </w:pPr>
      <w:r>
        <w:t xml:space="preserve">Improvement in infection-related pain</w:t>
      </w:r>
    </w:p>
    <w:p>
      <w:pPr>
        <w:pStyle w:val="Compact"/>
        <w:numPr>
          <w:ilvl w:val="0"/>
          <w:numId w:val="1011"/>
        </w:numPr>
      </w:pPr>
      <w:r>
        <w:t xml:space="preserve">Walking encouraged under supervision</w:t>
      </w:r>
    </w:p>
    <w:p>
      <w:pPr>
        <w:pStyle w:val="Compact"/>
        <w:numPr>
          <w:ilvl w:val="0"/>
          <w:numId w:val="1011"/>
        </w:numPr>
      </w:pPr>
      <w:r>
        <w:t xml:space="preserve">Continued antibiotic therapy</w:t>
      </w:r>
    </w:p>
    <w:bookmarkEnd w:id="40"/>
    <w:bookmarkStart w:id="41" w:name="weeks-26"/>
    <w:p>
      <w:pPr>
        <w:pStyle w:val="Heading3"/>
      </w:pPr>
      <w:r>
        <w:t xml:space="preserve">Weeks 2–6</w:t>
      </w:r>
    </w:p>
    <w:p>
      <w:pPr>
        <w:pStyle w:val="Compact"/>
        <w:numPr>
          <w:ilvl w:val="0"/>
          <w:numId w:val="1012"/>
        </w:numPr>
      </w:pPr>
      <w:r>
        <w:t xml:space="preserve">Follow-up consultations</w:t>
      </w:r>
    </w:p>
    <w:p>
      <w:pPr>
        <w:pStyle w:val="Compact"/>
        <w:numPr>
          <w:ilvl w:val="0"/>
          <w:numId w:val="1012"/>
        </w:numPr>
      </w:pPr>
      <w:r>
        <w:t xml:space="preserve">Review of culture results</w:t>
      </w:r>
    </w:p>
    <w:p>
      <w:pPr>
        <w:pStyle w:val="Compact"/>
        <w:numPr>
          <w:ilvl w:val="0"/>
          <w:numId w:val="1012"/>
        </w:numPr>
      </w:pPr>
      <w:r>
        <w:t xml:space="preserve">Monitoring of ESR and CRP</w:t>
      </w:r>
    </w:p>
    <w:p>
      <w:pPr>
        <w:pStyle w:val="Compact"/>
        <w:numPr>
          <w:ilvl w:val="0"/>
          <w:numId w:val="1012"/>
        </w:numPr>
      </w:pPr>
      <w:r>
        <w:t xml:space="preserve">Gradual increase in activity</w:t>
      </w:r>
    </w:p>
    <w:bookmarkEnd w:id="41"/>
    <w:bookmarkStart w:id="42" w:name="weeks3-months"/>
    <w:p>
      <w:pPr>
        <w:pStyle w:val="Heading3"/>
      </w:pPr>
      <w:r>
        <w:t xml:space="preserve">6 Weeks–3 Months</w:t>
      </w:r>
    </w:p>
    <w:p>
      <w:pPr>
        <w:pStyle w:val="Compact"/>
        <w:numPr>
          <w:ilvl w:val="0"/>
          <w:numId w:val="1013"/>
        </w:numPr>
      </w:pPr>
      <w:r>
        <w:t xml:space="preserve">Continued recovery</w:t>
      </w:r>
    </w:p>
    <w:p>
      <w:pPr>
        <w:pStyle w:val="Compact"/>
        <w:numPr>
          <w:ilvl w:val="0"/>
          <w:numId w:val="1013"/>
        </w:numPr>
      </w:pPr>
      <w:r>
        <w:t xml:space="preserve">Progressive strengthening exercises</w:t>
      </w:r>
    </w:p>
    <w:p>
      <w:pPr>
        <w:pStyle w:val="Compact"/>
        <w:numPr>
          <w:ilvl w:val="0"/>
          <w:numId w:val="1013"/>
        </w:numPr>
      </w:pPr>
      <w:r>
        <w:t xml:space="preserve">Improvement in mobility and function</w:t>
      </w:r>
    </w:p>
    <w:bookmarkEnd w:id="42"/>
    <w:bookmarkStart w:id="43" w:name="long-term-recovery"/>
    <w:p>
      <w:pPr>
        <w:pStyle w:val="Heading3"/>
      </w:pPr>
      <w:r>
        <w:t xml:space="preserve">Long-Term Recovery</w:t>
      </w:r>
    </w:p>
    <w:p>
      <w:pPr>
        <w:pStyle w:val="FirstParagraph"/>
      </w:pPr>
      <w:r>
        <w:t xml:space="preserve">Recovery depends on the severity of infection, overall health and response to antibiotic therapy.</w:t>
      </w:r>
    </w:p>
    <w:p>
      <w:pPr>
        <w:pStyle w:val="BodyText"/>
      </w:pPr>
      <w:r>
        <w:t xml:space="preserve">Most patients experience significant improvement in pain, function and quality of life following successful infection control.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56" w:name="frequently-asked-questions"/>
    <w:p>
      <w:pPr>
        <w:pStyle w:val="Heading2"/>
      </w:pPr>
      <w:r>
        <w:t xml:space="preserve">Frequently Asked Questions</w:t>
      </w:r>
    </w:p>
    <w:bookmarkStart w:id="45" w:name="why-do-i-need-this-surgery"/>
    <w:p>
      <w:pPr>
        <w:pStyle w:val="Heading3"/>
      </w:pPr>
      <w:r>
        <w:t xml:space="preserve">1. Why do I need this surgery?</w:t>
      </w:r>
    </w:p>
    <w:p>
      <w:pPr>
        <w:pStyle w:val="FirstParagraph"/>
      </w:pPr>
      <w:r>
        <w:t xml:space="preserve">Because the infection is causing nerve compression, spinal instability, severe pain or is not responding adequately to medical treatment alone.</w:t>
      </w:r>
    </w:p>
    <w:bookmarkEnd w:id="45"/>
    <w:bookmarkStart w:id="46" w:name="X80638c4bc761f8baaf62401803b785901a6f359"/>
    <w:p>
      <w:pPr>
        <w:pStyle w:val="Heading3"/>
      </w:pPr>
      <w:r>
        <w:t xml:space="preserve">2. Can spinal infections be treated without surgery?</w:t>
      </w:r>
    </w:p>
    <w:p>
      <w:pPr>
        <w:pStyle w:val="FirstParagraph"/>
      </w:pPr>
      <w:r>
        <w:t xml:space="preserve">Many spinal infections can be treated with antibiotics alone. Surgery is generally recommended when there is instability, neurological compromise, abscess formation or failure of conservative treatment.</w:t>
      </w:r>
    </w:p>
    <w:bookmarkEnd w:id="46"/>
    <w:bookmarkStart w:id="47" w:name="X649496c448f1d61d328f20d0838a75f81e764f8"/>
    <w:p>
      <w:pPr>
        <w:pStyle w:val="Heading3"/>
      </w:pPr>
      <w:r>
        <w:t xml:space="preserve">3. Will tissue samples be taken during surgery?</w:t>
      </w:r>
    </w:p>
    <w:p>
      <w:pPr>
        <w:pStyle w:val="FirstParagraph"/>
      </w:pPr>
      <w:r>
        <w:t xml:space="preserve">Yes. Tissue samples are usually collected during surgery to identify the infecting organism and guide targeted antibiotic treatment.</w:t>
      </w:r>
    </w:p>
    <w:bookmarkEnd w:id="47"/>
    <w:bookmarkStart w:id="48" w:name="how-long-will-i-stay-in-hospital"/>
    <w:p>
      <w:pPr>
        <w:pStyle w:val="Heading3"/>
      </w:pPr>
      <w:r>
        <w:t xml:space="preserve">4. How long will I stay in hospital?</w:t>
      </w:r>
    </w:p>
    <w:p>
      <w:pPr>
        <w:pStyle w:val="FirstParagraph"/>
      </w:pPr>
      <w:r>
        <w:t xml:space="preserve">Most patients remain in hospital for approximately 3–7 days, although this may vary depending on the severity of infection and medical condition.</w:t>
      </w:r>
    </w:p>
    <w:bookmarkEnd w:id="48"/>
    <w:bookmarkStart w:id="49" w:name="when-can-i-start-walking-after-surgery"/>
    <w:p>
      <w:pPr>
        <w:pStyle w:val="Heading3"/>
      </w:pPr>
      <w:r>
        <w:t xml:space="preserve">5. When can I start walking after surgery?</w:t>
      </w:r>
    </w:p>
    <w:p>
      <w:pPr>
        <w:pStyle w:val="FirstParagraph"/>
      </w:pPr>
      <w:r>
        <w:t xml:space="preserve">Most patients are encouraged to begin walking within 24–48 hours under supervision, depending on the extent of surgery and overall condition.</w:t>
      </w:r>
    </w:p>
    <w:bookmarkEnd w:id="49"/>
    <w:bookmarkStart w:id="50" w:name="when-can-i-start-outdoor-walking"/>
    <w:p>
      <w:pPr>
        <w:pStyle w:val="Heading3"/>
      </w:pPr>
      <w:r>
        <w:t xml:space="preserve">6. When can I start outdoor walking?</w:t>
      </w:r>
    </w:p>
    <w:p>
      <w:pPr>
        <w:pStyle w:val="FirstParagraph"/>
      </w:pPr>
      <w:r>
        <w:t xml:space="preserve">Outdoor walking is generally started after approximately 1–2 weeks depending on comfort and recovery.</w:t>
      </w:r>
    </w:p>
    <w:bookmarkEnd w:id="50"/>
    <w:bookmarkStart w:id="51" w:name="when-can-i-travel-after-surgery"/>
    <w:p>
      <w:pPr>
        <w:pStyle w:val="Heading3"/>
      </w:pPr>
      <w:r>
        <w:t xml:space="preserve">7. When can I travel after surgery?</w:t>
      </w:r>
    </w:p>
    <w:p>
      <w:pPr>
        <w:pStyle w:val="FirstParagraph"/>
      </w:pPr>
      <w:r>
        <w:t xml:space="preserve">Short local travel is usually possible after approximately 2–3 weeks. Long-distance travel is generally recommended after 6–8 weeks.</w:t>
      </w:r>
    </w:p>
    <w:bookmarkEnd w:id="51"/>
    <w:bookmarkStart w:id="52" w:name="when-can-i-return-to-work"/>
    <w:p>
      <w:pPr>
        <w:pStyle w:val="Heading3"/>
      </w:pPr>
      <w:r>
        <w:t xml:space="preserve">8. When can I return to work?</w:t>
      </w:r>
    </w:p>
    <w:p>
      <w:pPr>
        <w:pStyle w:val="FirstParagraph"/>
      </w:pPr>
      <w:r>
        <w:t xml:space="preserve">Typical timelines are:</w:t>
      </w:r>
    </w:p>
    <w:p>
      <w:pPr>
        <w:pStyle w:val="Compact"/>
        <w:numPr>
          <w:ilvl w:val="0"/>
          <w:numId w:val="1014"/>
        </w:numPr>
      </w:pPr>
      <w:r>
        <w:t xml:space="preserve">Work From Home (WFH): Approximately 3–4 weeks</w:t>
      </w:r>
    </w:p>
    <w:p>
      <w:pPr>
        <w:pStyle w:val="Compact"/>
        <w:numPr>
          <w:ilvl w:val="0"/>
          <w:numId w:val="1014"/>
        </w:numPr>
      </w:pPr>
      <w:r>
        <w:t xml:space="preserve">Office-Based Work: Approximately 6–8 weeks</w:t>
      </w:r>
    </w:p>
    <w:p>
      <w:pPr>
        <w:pStyle w:val="Compact"/>
        <w:numPr>
          <w:ilvl w:val="0"/>
          <w:numId w:val="1014"/>
        </w:numPr>
      </w:pPr>
      <w:r>
        <w:t xml:space="preserve">Light Physical Work: Approximately 8–12 weeks</w:t>
      </w:r>
    </w:p>
    <w:p>
      <w:pPr>
        <w:pStyle w:val="Compact"/>
        <w:numPr>
          <w:ilvl w:val="0"/>
          <w:numId w:val="1014"/>
        </w:numPr>
      </w:pPr>
      <w:r>
        <w:t xml:space="preserve">Heavy Manual Labour: Individualized based on recovery and infection control</w:t>
      </w:r>
    </w:p>
    <w:bookmarkEnd w:id="52"/>
    <w:bookmarkStart w:id="53" w:name="X48340b15a3d52fcd32f01d2db400b8777c7a062"/>
    <w:p>
      <w:pPr>
        <w:pStyle w:val="Heading3"/>
      </w:pPr>
      <w:r>
        <w:t xml:space="preserve">9. When can I drive, exercise, dance or resume sports?</w:t>
      </w:r>
    </w:p>
    <w:p>
      <w:pPr>
        <w:pStyle w:val="FirstParagraph"/>
      </w:pPr>
      <w:r>
        <w:t xml:space="preserve">Driving is generally permitted after 4–6 weeks.</w:t>
      </w:r>
    </w:p>
    <w:p>
      <w:pPr>
        <w:pStyle w:val="BodyText"/>
      </w:pPr>
      <w:r>
        <w:t xml:space="preserve">Sports, gym workouts and high-impact activities are usually resumed after 3–6 months depending on recovery and spinal stability.</w:t>
      </w:r>
    </w:p>
    <w:bookmarkEnd w:id="53"/>
    <w:bookmarkStart w:id="54" w:name="X81b07c83e2d997786b353b90fa7a6d7cce66fdb"/>
    <w:p>
      <w:pPr>
        <w:pStyle w:val="Heading3"/>
      </w:pPr>
      <w:r>
        <w:t xml:space="preserve">10. What is the success rate of Spinal Infection Surgery?</w:t>
      </w:r>
    </w:p>
    <w:p>
      <w:pPr>
        <w:pStyle w:val="FirstParagraph"/>
      </w:pPr>
      <w:r>
        <w:t xml:space="preserve">When performed for appropriate indications and combined with targeted antibiotic therapy, Spinal Infection Surgery has a high success rate in controlling infection, relieving pain and improving function.</w:t>
      </w:r>
    </w:p>
    <w:p>
      <w:pPr>
        <w:pStyle w:val="BodyText"/>
      </w:pPr>
      <w:r>
        <w:t xml:space="preserve">The outcome depends on factors such as the type of infection, severity of disease, neurological status and overall health.</w:t>
      </w:r>
    </w:p>
    <w:bookmarkEnd w:id="54"/>
    <w:bookmarkStart w:id="55" w:name="can-the-infection-come-back"/>
    <w:p>
      <w:pPr>
        <w:pStyle w:val="Heading3"/>
      </w:pPr>
      <w:r>
        <w:t xml:space="preserve">11. Can the infection come back?</w:t>
      </w:r>
    </w:p>
    <w:p>
      <w:pPr>
        <w:pStyle w:val="FirstParagraph"/>
      </w:pPr>
      <w:r>
        <w:t xml:space="preserve">Recurrence is uncommon but can occur in certain situations. Careful follow-up, completion of antibiotic treatment and regular monitoring help reduce this risk.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myth-vs-fact"/>
    <w:p>
      <w:pPr>
        <w:pStyle w:val="Heading2"/>
      </w:pPr>
      <w:r>
        <w:t xml:space="preserve">Myth vs Fact</w:t>
      </w:r>
    </w:p>
    <w:bookmarkStart w:id="57" w:name="myth"/>
    <w:p>
      <w:pPr>
        <w:pStyle w:val="Heading3"/>
      </w:pPr>
      <w:r>
        <w:t xml:space="preserve">Myth:</w:t>
      </w:r>
    </w:p>
    <w:p>
      <w:pPr>
        <w:pStyle w:val="FirstParagraph"/>
      </w:pPr>
      <w:r>
        <w:t xml:space="preserve">A spinal infection always causes permanent disability.</w:t>
      </w:r>
    </w:p>
    <w:bookmarkEnd w:id="57"/>
    <w:bookmarkStart w:id="58" w:name="fact"/>
    <w:p>
      <w:pPr>
        <w:pStyle w:val="Heading3"/>
      </w:pPr>
      <w:r>
        <w:t xml:space="preserve">Fact:</w:t>
      </w:r>
    </w:p>
    <w:p>
      <w:pPr>
        <w:pStyle w:val="FirstParagraph"/>
      </w:pPr>
      <w:r>
        <w:t xml:space="preserve">Early diagnosis and appropriate treatment can successfully control infection and allow many patients to return to normal activities.</w:t>
      </w:r>
    </w:p>
    <w:bookmarkEnd w:id="58"/>
    <w:bookmarkStart w:id="59" w:name="myth-1"/>
    <w:p>
      <w:pPr>
        <w:pStyle w:val="Heading3"/>
      </w:pPr>
      <w:r>
        <w:t xml:space="preserve">Myth:</w:t>
      </w:r>
    </w:p>
    <w:p>
      <w:pPr>
        <w:pStyle w:val="FirstParagraph"/>
      </w:pPr>
      <w:r>
        <w:t xml:space="preserve">Antibiotics alone can treat every spinal infection.</w:t>
      </w:r>
    </w:p>
    <w:bookmarkEnd w:id="59"/>
    <w:bookmarkStart w:id="60" w:name="fact-1"/>
    <w:p>
      <w:pPr>
        <w:pStyle w:val="Heading3"/>
      </w:pPr>
      <w:r>
        <w:t xml:space="preserve">Fact:</w:t>
      </w:r>
    </w:p>
    <w:p>
      <w:pPr>
        <w:pStyle w:val="FirstParagraph"/>
      </w:pPr>
      <w:r>
        <w:t xml:space="preserve">While many infections respond to antibiotics, some patients require surgery to remove infected tissue, decompress nerves or stabilize the spine.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2" w:name="X0a130425a84d8099f801825469a14729b500b3c"/>
    <w:p>
      <w:pPr>
        <w:pStyle w:val="Heading2"/>
      </w:pPr>
      <w:r>
        <w:t xml:space="preserve">When Should I Contact My Surgeon After Surgery?</w:t>
      </w:r>
    </w:p>
    <w:p>
      <w:pPr>
        <w:pStyle w:val="FirstParagraph"/>
      </w:pPr>
      <w:r>
        <w:t xml:space="preserve">Contact your surgeon if you experience:</w:t>
      </w:r>
    </w:p>
    <w:p>
      <w:pPr>
        <w:pStyle w:val="Compact"/>
        <w:numPr>
          <w:ilvl w:val="0"/>
          <w:numId w:val="1015"/>
        </w:numPr>
      </w:pPr>
      <w:r>
        <w:t xml:space="preserve">Fever</w:t>
      </w:r>
    </w:p>
    <w:p>
      <w:pPr>
        <w:pStyle w:val="Compact"/>
        <w:numPr>
          <w:ilvl w:val="0"/>
          <w:numId w:val="1015"/>
        </w:numPr>
      </w:pPr>
      <w:r>
        <w:t xml:space="preserve">Increasing wound discharge</w:t>
      </w:r>
    </w:p>
    <w:p>
      <w:pPr>
        <w:pStyle w:val="Compact"/>
        <w:numPr>
          <w:ilvl w:val="0"/>
          <w:numId w:val="1015"/>
        </w:numPr>
      </w:pPr>
      <w:r>
        <w:t xml:space="preserve">Severe back pain</w:t>
      </w:r>
    </w:p>
    <w:p>
      <w:pPr>
        <w:pStyle w:val="Compact"/>
        <w:numPr>
          <w:ilvl w:val="0"/>
          <w:numId w:val="1015"/>
        </w:numPr>
      </w:pPr>
      <w:r>
        <w:t xml:space="preserve">Progressive weakness</w:t>
      </w:r>
    </w:p>
    <w:p>
      <w:pPr>
        <w:pStyle w:val="Compact"/>
        <w:numPr>
          <w:ilvl w:val="0"/>
          <w:numId w:val="1015"/>
        </w:numPr>
      </w:pPr>
      <w:r>
        <w:t xml:space="preserve">Difficulty walking</w:t>
      </w:r>
    </w:p>
    <w:p>
      <w:pPr>
        <w:pStyle w:val="Compact"/>
        <w:numPr>
          <w:ilvl w:val="0"/>
          <w:numId w:val="1015"/>
        </w:numPr>
      </w:pPr>
      <w:r>
        <w:t xml:space="preserve">New numbness</w:t>
      </w:r>
    </w:p>
    <w:p>
      <w:pPr>
        <w:pStyle w:val="Compact"/>
        <w:numPr>
          <w:ilvl w:val="0"/>
          <w:numId w:val="1015"/>
        </w:numPr>
      </w:pPr>
      <w:r>
        <w:t xml:space="preserve">Persistent wound redness</w:t>
      </w:r>
    </w:p>
    <w:p>
      <w:pPr>
        <w:pStyle w:val="Compact"/>
        <w:numPr>
          <w:ilvl w:val="0"/>
          <w:numId w:val="1015"/>
        </w:numPr>
      </w:pPr>
      <w:r>
        <w:t xml:space="preserve">Any worsening of symptoms</w:t>
      </w:r>
    </w:p>
    <w:p>
      <w:r>
        <w:pict>
          <v:rect style="width:0;height:1.5pt" o:hralign="center" o:hrstd="t" o:hr="t"/>
        </w:pict>
      </w:r>
    </w:p>
    <w:bookmarkEnd w:id="62"/>
    <w:bookmarkStart w:id="63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6"/>
        </w:numPr>
      </w:pPr>
      <w:r>
        <w:t xml:space="preserve">Spinal Infection</w:t>
      </w:r>
    </w:p>
    <w:p>
      <w:pPr>
        <w:pStyle w:val="Compact"/>
        <w:numPr>
          <w:ilvl w:val="0"/>
          <w:numId w:val="1016"/>
        </w:numPr>
      </w:pPr>
      <w:r>
        <w:t xml:space="preserve">Spondylodiscitis</w:t>
      </w:r>
    </w:p>
    <w:p>
      <w:pPr>
        <w:pStyle w:val="Compact"/>
        <w:numPr>
          <w:ilvl w:val="0"/>
          <w:numId w:val="1016"/>
        </w:numPr>
      </w:pPr>
      <w:r>
        <w:t xml:space="preserve">Vertebral Osteomyelitis</w:t>
      </w:r>
    </w:p>
    <w:p>
      <w:pPr>
        <w:pStyle w:val="Compact"/>
        <w:numPr>
          <w:ilvl w:val="0"/>
          <w:numId w:val="1016"/>
        </w:numPr>
      </w:pPr>
      <w:r>
        <w:t xml:space="preserve">Epidural Abscess</w:t>
      </w:r>
    </w:p>
    <w:p>
      <w:pPr>
        <w:pStyle w:val="Compact"/>
        <w:numPr>
          <w:ilvl w:val="0"/>
          <w:numId w:val="1016"/>
        </w:numPr>
      </w:pPr>
      <w:r>
        <w:t xml:space="preserve">Spinal Tuberculosis (TB Spine)</w:t>
      </w:r>
    </w:p>
    <w:p>
      <w:r>
        <w:pict>
          <v:rect style="width:0;height:1.5pt" o:hralign="center" o:hrstd="t" o:hr="t"/>
        </w:pict>
      </w:r>
    </w:p>
    <w:bookmarkEnd w:id="63"/>
    <w:bookmarkStart w:id="64" w:name="related-procedures"/>
    <w:p>
      <w:pPr>
        <w:pStyle w:val="Heading2"/>
      </w:pPr>
      <w:r>
        <w:t xml:space="preserve">Related Procedures</w:t>
      </w:r>
    </w:p>
    <w:p>
      <w:pPr>
        <w:pStyle w:val="Compact"/>
        <w:numPr>
          <w:ilvl w:val="0"/>
          <w:numId w:val="1017"/>
        </w:numPr>
      </w:pPr>
      <w:r>
        <w:t xml:space="preserve">Fracture Fixation Surgery</w:t>
      </w:r>
    </w:p>
    <w:p>
      <w:pPr>
        <w:pStyle w:val="Compact"/>
        <w:numPr>
          <w:ilvl w:val="0"/>
          <w:numId w:val="1017"/>
        </w:numPr>
      </w:pPr>
      <w:r>
        <w:t xml:space="preserve">Multilevel Laminectomy Decompression &amp; Fixation (MLDF)</w:t>
      </w:r>
    </w:p>
    <w:p>
      <w:pPr>
        <w:pStyle w:val="Compact"/>
        <w:numPr>
          <w:ilvl w:val="0"/>
          <w:numId w:val="1017"/>
        </w:numPr>
      </w:pPr>
      <w:r>
        <w:t xml:space="preserve">Spino-Pelvic Fixation Surgery</w:t>
      </w:r>
    </w:p>
    <w:p>
      <w:r>
        <w:pict>
          <v:rect style="width:0;height:1.5pt" o:hralign="center" o:hrstd="t" o:hr="t"/>
        </w:pict>
      </w:r>
    </w:p>
    <w:bookmarkEnd w:id="64"/>
    <w:bookmarkStart w:id="65" w:name="need-expert-advice"/>
    <w:p>
      <w:pPr>
        <w:pStyle w:val="Heading2"/>
      </w:pPr>
      <w:r>
        <w:t xml:space="preserve">Need Expert Advice?</w:t>
      </w:r>
    </w:p>
    <w:p>
      <w:pPr>
        <w:pStyle w:val="FirstParagraph"/>
      </w:pPr>
      <w:r>
        <w:t xml:space="preserve">If you have been diagnosed with a spinal infection, persistent unexplained back pain, or have been advised spine surgery for infection, you may schedule a consultation or upload your MRI, CT scan and blood reports for specialist review.</w:t>
      </w:r>
    </w:p>
    <w:p>
      <w:pPr>
        <w:pStyle w:val="BodyText"/>
      </w:pPr>
      <w:r>
        <w:rPr>
          <w:b/>
          <w:bCs/>
        </w:rPr>
        <w:t xml:space="preserve">Dr. Siddharth Katkade</w:t>
      </w:r>
      <w:r>
        <w:br/>
      </w:r>
      <w:r>
        <w:t xml:space="preserve">Consultant Spine Surgeon</w:t>
      </w:r>
    </w:p>
    <w:p>
      <w:pPr>
        <w:pStyle w:val="BodyText"/>
      </w:pPr>
      <w:r>
        <w:rPr>
          <w:b/>
          <w:bCs/>
        </w:rPr>
        <w:t xml:space="preserve">Bombay Spine Clinic™</w:t>
      </w:r>
    </w:p>
    <w:bookmarkEnd w:id="65"/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2026-06-18T04:31:49Z</dcterms:created>
  <dcterms:modified xsi:type="dcterms:W3CDTF">2026-06-18T04:31:49Z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